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BD63" w14:textId="77777777" w:rsidR="00693D65" w:rsidRDefault="00693D65">
      <w:pPr>
        <w:spacing w:after="200"/>
      </w:pPr>
      <w:r w:rsidRPr="00BD3E99">
        <w:rPr>
          <w:b/>
          <w:bCs/>
          <w:color w:val="007260"/>
          <w:sz w:val="18"/>
          <w:szCs w:val="18"/>
        </w:rPr>
        <w:t xml:space="preserve">EFWA EXCELLENCE HUB     </w:t>
      </w:r>
      <w:r w:rsidRPr="006633BD">
        <w:rPr>
          <w:b/>
          <w:bCs/>
          <w:color w:val="767171" w:themeColor="background2" w:themeShade="80"/>
          <w:sz w:val="18"/>
          <w:szCs w:val="18"/>
        </w:rPr>
        <w:t>Level 1 · Leadership</w:t>
      </w:r>
    </w:p>
    <w:p w14:paraId="3355AE8E" w14:textId="77777777" w:rsidR="00693D65" w:rsidRDefault="00693D65">
      <w:pPr>
        <w:pStyle w:val="Title0"/>
      </w:pPr>
      <w:r w:rsidRPr="00627E7D">
        <w:rPr>
          <w:color w:val="007260"/>
        </w:rPr>
        <w:t>Why Food Waste Matters</w:t>
      </w:r>
    </w:p>
    <w:p w14:paraId="3E5D2E12" w14:textId="0B924EC9" w:rsidR="00F406F6" w:rsidRDefault="011D7950">
      <w:pPr>
        <w:spacing w:after="60"/>
      </w:pPr>
      <w:r w:rsidRPr="011D7950">
        <w:rPr>
          <w:color w:val="555555"/>
          <w:sz w:val="22"/>
          <w:szCs w:val="22"/>
        </w:rPr>
        <w:t>An executive briefing to win leadership backing for a food waste program</w:t>
      </w:r>
    </w:p>
    <w:p w14:paraId="2274FF63" w14:textId="77777777" w:rsidR="00071400" w:rsidRDefault="00071400">
      <w:pPr>
        <w:spacing w:after="140"/>
        <w:rPr>
          <w:kern w:val="2"/>
          <w:lang w:val="en-AU" w:eastAsia="en-AU"/>
          <w14:ligatures w14:val="standardContextual"/>
        </w:rPr>
      </w:pPr>
    </w:p>
    <w:tbl>
      <w:tblPr>
        <w:tblW w:w="10080" w:type="dxa"/>
        <w:tblBorders>
          <w:left w:val="single" w:sz="24" w:space="0" w:color="2E7D32"/>
        </w:tblBorders>
        <w:tblCellMar>
          <w:left w:w="10" w:type="dxa"/>
          <w:right w:w="10" w:type="dxa"/>
        </w:tblCellMar>
        <w:tblLook w:val="04A0" w:firstRow="1" w:lastRow="0" w:firstColumn="1" w:lastColumn="0" w:noHBand="0" w:noVBand="1"/>
      </w:tblPr>
      <w:tblGrid>
        <w:gridCol w:w="10080"/>
      </w:tblGrid>
      <w:tr w:rsidR="00F406F6" w14:paraId="7BEF8463" w14:textId="77777777" w:rsidTr="00071400">
        <w:tblPrEx>
          <w:tblCellMar>
            <w:top w:w="0" w:type="dxa"/>
            <w:bottom w:w="0" w:type="dxa"/>
          </w:tblCellMar>
        </w:tblPrEx>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25EF04A9" w14:textId="77777777" w:rsidR="00071400" w:rsidRDefault="00071400">
            <w:pPr>
              <w:spacing w:after="60"/>
              <w:rPr>
                <w:kern w:val="2"/>
                <w:lang w:val="en-AU" w:eastAsia="en-AU"/>
                <w14:ligatures w14:val="standardContextual"/>
              </w:rPr>
            </w:pPr>
            <w:r>
              <w:rPr>
                <w:b/>
                <w:bCs/>
                <w:color w:val="007260"/>
                <w:sz w:val="22"/>
                <w:szCs w:val="22"/>
              </w:rPr>
              <w:t>New to this? Start here</w:t>
            </w:r>
          </w:p>
          <w:p w14:paraId="22969CC4" w14:textId="5348AA0D" w:rsidR="00F406F6" w:rsidRDefault="00071400" w:rsidP="00F84A84">
            <w:pPr>
              <w:spacing w:after="80"/>
            </w:pPr>
            <w:r>
              <w:rPr>
                <w:color w:val="000000"/>
              </w:rPr>
              <w:t xml:space="preserve">If your business has never measured food waste, this document is where to start. It is </w:t>
            </w:r>
            <w:r w:rsidR="001E4BA1">
              <w:rPr>
                <w:color w:val="000000"/>
              </w:rPr>
              <w:t>designed</w:t>
            </w:r>
            <w:r>
              <w:rPr>
                <w:color w:val="000000"/>
              </w:rPr>
              <w:t xml:space="preserve"> to be read by a busy leader in five minutes and to give you the argument</w:t>
            </w:r>
            <w:r w:rsidR="00154EA8">
              <w:rPr>
                <w:color w:val="000000"/>
              </w:rPr>
              <w:t xml:space="preserve">, </w:t>
            </w:r>
            <w:r>
              <w:rPr>
                <w:color w:val="000000"/>
              </w:rPr>
              <w:t>and the numbers</w:t>
            </w:r>
            <w:r w:rsidR="00154EA8">
              <w:rPr>
                <w:color w:val="000000"/>
              </w:rPr>
              <w:t>,</w:t>
            </w:r>
            <w:r>
              <w:rPr>
                <w:color w:val="000000"/>
              </w:rPr>
              <w:t xml:space="preserve"> to get a program approved.</w:t>
            </w:r>
            <w:r w:rsidR="00F84A84">
              <w:rPr>
                <w:color w:val="000000"/>
              </w:rPr>
              <w:t xml:space="preserve"> </w:t>
            </w:r>
            <w:r>
              <w:rPr>
                <w:color w:val="000000"/>
              </w:rPr>
              <w:t>You do not need any data to begin. The one-page business case at the end works from a single rough estimate.</w:t>
            </w:r>
          </w:p>
        </w:tc>
      </w:tr>
    </w:tbl>
    <w:p w14:paraId="0A37501D" w14:textId="77777777" w:rsidR="00F406F6" w:rsidRDefault="00F406F6">
      <w:pPr>
        <w:spacing w:after="40"/>
      </w:pPr>
    </w:p>
    <w:p w14:paraId="67936298" w14:textId="77777777" w:rsidR="00693D65" w:rsidRPr="00627E7D" w:rsidRDefault="00693D65">
      <w:pPr>
        <w:pStyle w:val="heading10"/>
        <w:rPr>
          <w:color w:val="007260"/>
        </w:rPr>
      </w:pPr>
      <w:r w:rsidRPr="00627E7D">
        <w:rPr>
          <w:color w:val="007260"/>
        </w:rPr>
        <w:t>The one-sentence case</w:t>
      </w:r>
    </w:p>
    <w:tbl>
      <w:tblPr>
        <w:tblW w:w="10080" w:type="dxa"/>
        <w:tblBorders>
          <w:left w:val="single" w:sz="24" w:space="0" w:color="F57F17"/>
        </w:tblBorders>
        <w:tblCellMar>
          <w:left w:w="10" w:type="dxa"/>
          <w:right w:w="10" w:type="dxa"/>
        </w:tblCellMar>
        <w:tblLook w:val="04A0" w:firstRow="1" w:lastRow="0" w:firstColumn="1" w:lastColumn="0" w:noHBand="0" w:noVBand="1"/>
      </w:tblPr>
      <w:tblGrid>
        <w:gridCol w:w="10080"/>
      </w:tblGrid>
      <w:tr w:rsidR="00F406F6" w14:paraId="1FED97D5" w14:textId="77777777" w:rsidTr="00185E48">
        <w:tblPrEx>
          <w:tblCellMar>
            <w:top w:w="0" w:type="dxa"/>
            <w:bottom w:w="0" w:type="dxa"/>
          </w:tblCellMar>
        </w:tblPrEx>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464CCA56" w14:textId="377FCE2F" w:rsidR="00185E48" w:rsidRDefault="00185E48">
            <w:pPr>
              <w:spacing w:after="60"/>
              <w:rPr>
                <w:kern w:val="2"/>
                <w:lang w:val="en-AU" w:eastAsia="en-AU"/>
                <w14:ligatures w14:val="standardContextual"/>
              </w:rPr>
            </w:pPr>
            <w:r>
              <w:rPr>
                <w:b/>
                <w:bCs/>
                <w:color w:val="007260"/>
                <w:sz w:val="22"/>
                <w:szCs w:val="22"/>
              </w:rPr>
              <w:t>The bottom line</w:t>
            </w:r>
          </w:p>
          <w:p w14:paraId="63FBEEC5" w14:textId="1E83B2F8" w:rsidR="00F406F6" w:rsidRDefault="00185E48" w:rsidP="00185E48">
            <w:pPr>
              <w:spacing w:after="0"/>
            </w:pPr>
            <w:r>
              <w:rPr>
                <w:color w:val="000000"/>
              </w:rPr>
              <w:t>Food waste is money your business has already paid for</w:t>
            </w:r>
            <w:r w:rsidR="00B002F7">
              <w:rPr>
                <w:color w:val="000000"/>
              </w:rPr>
              <w:t>,</w:t>
            </w:r>
            <w:r>
              <w:rPr>
                <w:color w:val="000000"/>
              </w:rPr>
              <w:t xml:space="preserve"> ingredients, labour and energy</w:t>
            </w:r>
            <w:r w:rsidR="00B002F7">
              <w:rPr>
                <w:color w:val="000000"/>
              </w:rPr>
              <w:t xml:space="preserve">, </w:t>
            </w:r>
            <w:r>
              <w:rPr>
                <w:color w:val="000000"/>
              </w:rPr>
              <w:t>going straight to the bin. For most food businesses it equals 3</w:t>
            </w:r>
            <w:r w:rsidR="00E9441A">
              <w:rPr>
                <w:color w:val="000000"/>
              </w:rPr>
              <w:t xml:space="preserve"> -</w:t>
            </w:r>
            <w:r>
              <w:rPr>
                <w:color w:val="000000"/>
              </w:rPr>
              <w:t>10% of raw material spend, and every dollar you stop wasting flows directly to profit.</w:t>
            </w:r>
          </w:p>
        </w:tc>
      </w:tr>
    </w:tbl>
    <w:p w14:paraId="5DAB6C7B" w14:textId="77777777" w:rsidR="00F406F6" w:rsidRDefault="00F406F6">
      <w:pPr>
        <w:spacing w:after="60"/>
      </w:pPr>
    </w:p>
    <w:p w14:paraId="509BC664" w14:textId="77777777" w:rsidR="00693D65" w:rsidRPr="00627E7D" w:rsidRDefault="00693D65">
      <w:pPr>
        <w:pStyle w:val="heading10"/>
        <w:rPr>
          <w:color w:val="007260"/>
        </w:rPr>
      </w:pPr>
      <w:r w:rsidRPr="00627E7D">
        <w:rPr>
          <w:color w:val="007260"/>
        </w:rPr>
        <w:t>Why waste is more expensive than it looks</w:t>
      </w:r>
    </w:p>
    <w:p w14:paraId="195E750D" w14:textId="133D723E" w:rsidR="00F406F6" w:rsidRDefault="011D7950">
      <w:r w:rsidRPr="011D7950">
        <w:t xml:space="preserve">When people picture food waste they picture the value of the food. But by the time a product is thrown out, you have usually also paid to </w:t>
      </w:r>
      <w:r w:rsidR="00B2310E">
        <w:t xml:space="preserve">transport it, </w:t>
      </w:r>
      <w:r w:rsidRPr="011D7950">
        <w:t>store it, prepare it, cook or chill it, and you will pay again to dispose of it. Counting only the ingredient value typically understates the true cost by two to three times.</w:t>
      </w:r>
    </w:p>
    <w:p w14:paraId="2AFE5389" w14:textId="77777777" w:rsidR="00F406F6" w:rsidRDefault="00693D65">
      <w:r>
        <w:t>This matters for the business case because it changes the size of the prize. A site that thinks it wastes “a few thousand dollars” of food often finds the true figure is well into five or six figures once the hidden layers are counted.</w:t>
      </w:r>
    </w:p>
    <w:p w14:paraId="02EB378F" w14:textId="77777777" w:rsidR="00F406F6" w:rsidRDefault="00F406F6">
      <w:pPr>
        <w:spacing w:after="20"/>
      </w:pPr>
    </w:p>
    <w:tbl>
      <w:tblPr>
        <w:tblW w:w="10080" w:type="dxa"/>
        <w:tblBorders>
          <w:left w:val="single" w:sz="24" w:space="0" w:color="555555"/>
        </w:tblBorders>
        <w:tblCellMar>
          <w:left w:w="10" w:type="dxa"/>
          <w:right w:w="10" w:type="dxa"/>
        </w:tblCellMar>
        <w:tblLook w:val="04A0" w:firstRow="1" w:lastRow="0" w:firstColumn="1" w:lastColumn="0" w:noHBand="0" w:noVBand="1"/>
      </w:tblPr>
      <w:tblGrid>
        <w:gridCol w:w="10080"/>
      </w:tblGrid>
      <w:tr w:rsidR="00F406F6" w14:paraId="6D9205D1" w14:textId="77777777" w:rsidTr="00135533">
        <w:tblPrEx>
          <w:tblCellMar>
            <w:top w:w="0" w:type="dxa"/>
            <w:bottom w:w="0" w:type="dxa"/>
          </w:tblCellMar>
        </w:tblPrEx>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686B8B6B" w14:textId="4F6C4E7D" w:rsidR="00135533" w:rsidRDefault="00135533">
            <w:pPr>
              <w:spacing w:after="60"/>
              <w:rPr>
                <w:kern w:val="2"/>
                <w:lang w:val="en-AU" w:eastAsia="en-AU"/>
                <w14:ligatures w14:val="standardContextual"/>
              </w:rPr>
            </w:pPr>
            <w:r>
              <w:rPr>
                <w:b/>
                <w:bCs/>
                <w:color w:val="007260"/>
                <w:sz w:val="22"/>
                <w:szCs w:val="22"/>
              </w:rPr>
              <w:t>Worked example</w:t>
            </w:r>
            <w:r w:rsidR="003F16AF">
              <w:rPr>
                <w:b/>
                <w:bCs/>
                <w:color w:val="007260"/>
                <w:sz w:val="22"/>
                <w:szCs w:val="22"/>
              </w:rPr>
              <w:t xml:space="preserve">: </w:t>
            </w:r>
            <w:r>
              <w:rPr>
                <w:b/>
                <w:bCs/>
                <w:color w:val="007260"/>
                <w:sz w:val="22"/>
                <w:szCs w:val="22"/>
              </w:rPr>
              <w:t>a mid-size bakery</w:t>
            </w:r>
          </w:p>
          <w:p w14:paraId="00D081A2" w14:textId="090BECC0" w:rsidR="00135533" w:rsidRDefault="00135533">
            <w:pPr>
              <w:spacing w:after="40"/>
            </w:pPr>
            <w:r>
              <w:rPr>
                <w:b/>
                <w:bCs/>
                <w:color w:val="000000"/>
              </w:rPr>
              <w:t xml:space="preserve">Raw material spend: </w:t>
            </w:r>
            <w:r>
              <w:rPr>
                <w:color w:val="000000"/>
              </w:rPr>
              <w:t>$2,000,000 per year.</w:t>
            </w:r>
          </w:p>
          <w:p w14:paraId="5A09DDB2" w14:textId="29864556" w:rsidR="00135533" w:rsidRDefault="00135533">
            <w:pPr>
              <w:spacing w:after="40"/>
            </w:pPr>
            <w:r>
              <w:rPr>
                <w:b/>
                <w:bCs/>
                <w:color w:val="000000"/>
              </w:rPr>
              <w:t xml:space="preserve">Waste (industry mid-point, 6%): </w:t>
            </w:r>
            <w:r>
              <w:rPr>
                <w:color w:val="000000"/>
              </w:rPr>
              <w:t>$120,000 of ingredients binned.</w:t>
            </w:r>
          </w:p>
          <w:p w14:paraId="478AD832" w14:textId="1F1EC7F0" w:rsidR="00135533" w:rsidRDefault="00135533">
            <w:pPr>
              <w:spacing w:after="40"/>
            </w:pPr>
            <w:r>
              <w:rPr>
                <w:b/>
                <w:bCs/>
                <w:color w:val="000000"/>
              </w:rPr>
              <w:t xml:space="preserve">True cost at 2.5×: </w:t>
            </w:r>
            <w:r>
              <w:rPr>
                <w:color w:val="000000"/>
              </w:rPr>
              <w:t>about $300,000 per year once labour, energy and disposal are included.</w:t>
            </w:r>
          </w:p>
          <w:p w14:paraId="022D9B21" w14:textId="531D5A4B" w:rsidR="00F406F6" w:rsidRDefault="00135533" w:rsidP="00135533">
            <w:pPr>
              <w:spacing w:after="0"/>
            </w:pPr>
            <w:r>
              <w:rPr>
                <w:b/>
                <w:bCs/>
                <w:color w:val="000000"/>
              </w:rPr>
              <w:t xml:space="preserve">What that means: </w:t>
            </w:r>
            <w:r>
              <w:rPr>
                <w:color w:val="000000"/>
              </w:rPr>
              <w:t>halving it would return roughly $150,000 to the bottom line</w:t>
            </w:r>
            <w:r w:rsidR="003450F5">
              <w:rPr>
                <w:color w:val="000000"/>
              </w:rPr>
              <w:t>,</w:t>
            </w:r>
            <w:r>
              <w:rPr>
                <w:color w:val="000000"/>
              </w:rPr>
              <w:t xml:space="preserve"> with no new sales required.</w:t>
            </w:r>
          </w:p>
        </w:tc>
      </w:tr>
    </w:tbl>
    <w:p w14:paraId="6A05A809" w14:textId="77777777" w:rsidR="00F406F6" w:rsidRDefault="00F406F6">
      <w:pPr>
        <w:spacing w:after="60"/>
      </w:pPr>
    </w:p>
    <w:p w14:paraId="75A3FE43" w14:textId="77777777" w:rsidR="001D183C" w:rsidRDefault="001D183C">
      <w:pPr>
        <w:pStyle w:val="heading10"/>
        <w:rPr>
          <w:color w:val="007260"/>
        </w:rPr>
      </w:pPr>
    </w:p>
    <w:p w14:paraId="4ED4C6CC" w14:textId="77777777" w:rsidR="001D183C" w:rsidRDefault="001D183C">
      <w:pPr>
        <w:pStyle w:val="heading10"/>
        <w:rPr>
          <w:color w:val="007260"/>
        </w:rPr>
      </w:pPr>
    </w:p>
    <w:p w14:paraId="42569FEB" w14:textId="77777777" w:rsidR="00693D65" w:rsidRPr="00627E7D" w:rsidRDefault="00693D65">
      <w:pPr>
        <w:pStyle w:val="heading10"/>
        <w:rPr>
          <w:color w:val="007260"/>
        </w:rPr>
      </w:pPr>
      <w:r w:rsidRPr="00627E7D">
        <w:rPr>
          <w:color w:val="007260"/>
        </w:rPr>
        <w:t>Three reasons to act now</w:t>
      </w:r>
    </w:p>
    <w:p w14:paraId="74F7E25E" w14:textId="77777777" w:rsidR="00F406F6" w:rsidRDefault="011D7950">
      <w:pPr>
        <w:pStyle w:val="heading30"/>
      </w:pPr>
      <w:r w:rsidRPr="011D7950">
        <w:t>1. Margin recovery with no new sales</w:t>
      </w:r>
    </w:p>
    <w:p w14:paraId="018773DB" w14:textId="77777777" w:rsidR="00F406F6" w:rsidRDefault="011D7950">
      <w:r w:rsidRPr="011D7950">
        <w:t>Waste is pure cost. Unlike winning new customers, every dollar of waste removed is a dollar of profit — no marketing spend, no discounting, no extra volume. In a low-margin industry this is often the single fastest lever available.</w:t>
      </w:r>
    </w:p>
    <w:p w14:paraId="3C5ECE3B" w14:textId="77777777" w:rsidR="00F406F6" w:rsidRDefault="011D7950">
      <w:pPr>
        <w:pStyle w:val="heading30"/>
      </w:pPr>
      <w:r w:rsidRPr="011D7950">
        <w:t>2. Customer and regulatory pressure is rising</w:t>
      </w:r>
    </w:p>
    <w:p w14:paraId="42A0BCD6" w14:textId="77777777" w:rsidR="00F406F6" w:rsidRDefault="00693D65">
      <w:r>
        <w:t>Major retailers now score suppliers on food waste and increasingly ask for it in tenders. Councils are progressively mandating organics (FOGO) separation, which adds cost and obligation. A business with a baseline and a plan is ahead; one with neither is exposed.</w:t>
      </w:r>
    </w:p>
    <w:p w14:paraId="016F5E0F" w14:textId="77777777" w:rsidR="00F406F6" w:rsidRDefault="011D7950">
      <w:pPr>
        <w:pStyle w:val="heading30"/>
      </w:pPr>
      <w:r w:rsidRPr="011D7950">
        <w:t>3. Staff want to work somewhere that doesn’t waste</w:t>
      </w:r>
    </w:p>
    <w:p w14:paraId="5A39BBE3" w14:textId="4D32C8E9" w:rsidR="00F406F6" w:rsidRDefault="011D7950" w:rsidP="011D7950">
      <w:r w:rsidRPr="011D7950">
        <w:t>Tackling waste is a visible, practical form of sustainability that frontline teams can see and contribute to daily. It builds pride and engagement in a way that abstract targets do not.</w:t>
      </w:r>
    </w:p>
    <w:p w14:paraId="172FEB24" w14:textId="77777777" w:rsidR="00693D65" w:rsidRPr="00627E7D" w:rsidRDefault="00693D65">
      <w:pPr>
        <w:pStyle w:val="heading10"/>
        <w:rPr>
          <w:color w:val="007260"/>
        </w:rPr>
      </w:pPr>
      <w:r w:rsidRPr="00627E7D">
        <w:rPr>
          <w:color w:val="007260"/>
        </w:rPr>
        <w:t>Wha</w:t>
      </w:r>
      <w:r w:rsidRPr="00627E7D">
        <w:rPr>
          <w:color w:val="007260"/>
        </w:rPr>
        <w:t>t this could mean for us</w:t>
      </w:r>
    </w:p>
    <w:p w14:paraId="3ED8C5E1" w14:textId="13338888" w:rsidR="00F406F6" w:rsidRDefault="011D7950">
      <w:r w:rsidRPr="011D7950">
        <w:t>Fill in the four cells below to turn the industry percentages into a dollar figure for this site. If you don’t know a number</w:t>
      </w:r>
      <w:r w:rsidR="00BC04B4">
        <w:t xml:space="preserve"> for estimated waste</w:t>
      </w:r>
      <w:r w:rsidRPr="011D7950">
        <w:t>, use the default shown and refine it later — a rough estimate is enough to justify starting.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0"/>
        <w:gridCol w:w="4480"/>
      </w:tblGrid>
      <w:tr w:rsidR="00F406F6" w14:paraId="6026024C" w14:textId="77777777" w:rsidTr="003E7F63">
        <w:tblPrEx>
          <w:tblCellMar>
            <w:top w:w="0" w:type="dxa"/>
            <w:bottom w:w="0" w:type="dxa"/>
          </w:tblCellMar>
        </w:tblPrEx>
        <w:tc>
          <w:tcPr>
            <w:tcW w:w="5600" w:type="dxa"/>
            <w:tcBorders>
              <w:top w:val="single" w:sz="8" w:space="0" w:color="CCCCCC"/>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D026E62" w14:textId="0C328C3E" w:rsidR="00F406F6" w:rsidRDefault="003E7F63" w:rsidP="003E7F63">
            <w:pPr>
              <w:spacing w:after="0"/>
            </w:pPr>
            <w:r>
              <w:rPr>
                <w:b/>
                <w:bCs/>
                <w:color w:val="000000"/>
                <w:sz w:val="19"/>
                <w:szCs w:val="19"/>
              </w:rPr>
              <w:t>Annual food / raw material spend ($)</w:t>
            </w:r>
          </w:p>
        </w:tc>
        <w:tc>
          <w:tcPr>
            <w:tcW w:w="4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F74C1ED" w14:textId="77777777" w:rsidR="00F406F6" w:rsidRDefault="011D7950">
            <w:pPr>
              <w:spacing w:after="0"/>
            </w:pPr>
            <w:r w:rsidRPr="011D7950">
              <w:rPr>
                <w:b/>
                <w:color w:val="C62828"/>
                <w:sz w:val="19"/>
                <w:szCs w:val="19"/>
                <w:highlight w:val="yellow"/>
              </w:rPr>
              <w:t xml:space="preserve">  [ CLIENT TO COMPLETE ]</w:t>
            </w:r>
          </w:p>
        </w:tc>
      </w:tr>
      <w:tr w:rsidR="00F406F6" w14:paraId="77B01299" w14:textId="77777777" w:rsidTr="011D7950">
        <w:tblPrEx>
          <w:tblCellMar>
            <w:top w:w="0" w:type="dxa"/>
            <w:bottom w:w="0" w:type="dxa"/>
          </w:tblCellMar>
        </w:tblPrEx>
        <w:tc>
          <w:tcPr>
            <w:tcW w:w="5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8E7E095" w14:textId="77777777" w:rsidR="00F406F6" w:rsidRDefault="00693D65">
            <w:pPr>
              <w:spacing w:after="0"/>
            </w:pPr>
            <w:r>
              <w:rPr>
                <w:b/>
                <w:bCs/>
                <w:sz w:val="19"/>
                <w:szCs w:val="19"/>
              </w:rPr>
              <w:t>Estimated waste % (use 6% if unsure)</w:t>
            </w:r>
          </w:p>
        </w:tc>
        <w:tc>
          <w:tcPr>
            <w:tcW w:w="4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3FA3DF7D" w14:textId="77777777" w:rsidR="00F406F6" w:rsidRDefault="011D7950">
            <w:pPr>
              <w:spacing w:after="0"/>
            </w:pPr>
            <w:r w:rsidRPr="011D7950">
              <w:rPr>
                <w:b/>
                <w:color w:val="C62828"/>
                <w:sz w:val="19"/>
                <w:szCs w:val="19"/>
                <w:highlight w:val="yellow"/>
              </w:rPr>
              <w:t xml:space="preserve">  [ CLIENT TO COMPLETE ]</w:t>
            </w:r>
          </w:p>
        </w:tc>
      </w:tr>
      <w:tr w:rsidR="00F406F6" w14:paraId="35ED57BE" w14:textId="77777777" w:rsidTr="003E7F63">
        <w:tblPrEx>
          <w:tblCellMar>
            <w:top w:w="0" w:type="dxa"/>
            <w:bottom w:w="0" w:type="dxa"/>
          </w:tblCellMar>
        </w:tblPrEx>
        <w:tc>
          <w:tcPr>
            <w:tcW w:w="5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C6C83E5" w14:textId="54E14EAA" w:rsidR="00F406F6" w:rsidRDefault="003E7F63" w:rsidP="003E7F63">
            <w:pPr>
              <w:spacing w:after="0"/>
            </w:pPr>
            <w:r>
              <w:rPr>
                <w:b/>
                <w:bCs/>
                <w:color w:val="000000"/>
                <w:sz w:val="19"/>
                <w:szCs w:val="19"/>
              </w:rPr>
              <w:t>Estimated annual cost of waste ($)  = spend × %</w:t>
            </w:r>
          </w:p>
        </w:tc>
        <w:tc>
          <w:tcPr>
            <w:tcW w:w="4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ABD849B" w14:textId="77777777" w:rsidR="00F406F6" w:rsidRDefault="011D7950">
            <w:pPr>
              <w:spacing w:after="0"/>
            </w:pPr>
            <w:r w:rsidRPr="011D7950">
              <w:rPr>
                <w:b/>
                <w:color w:val="C62828"/>
                <w:sz w:val="19"/>
                <w:szCs w:val="19"/>
                <w:highlight w:val="yellow"/>
              </w:rPr>
              <w:t xml:space="preserve">  [ CLIENT TO COMPLETE ]</w:t>
            </w:r>
          </w:p>
        </w:tc>
      </w:tr>
      <w:tr w:rsidR="00F406F6" w14:paraId="1C013A09" w14:textId="77777777" w:rsidTr="011D7950">
        <w:tblPrEx>
          <w:tblCellMar>
            <w:top w:w="0" w:type="dxa"/>
            <w:bottom w:w="0" w:type="dxa"/>
          </w:tblCellMar>
        </w:tblPrEx>
        <w:tc>
          <w:tcPr>
            <w:tcW w:w="5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CD63354" w14:textId="77777777" w:rsidR="00F406F6" w:rsidRDefault="011D7950">
            <w:pPr>
              <w:spacing w:after="0"/>
            </w:pPr>
            <w:r w:rsidRPr="011D7950">
              <w:rPr>
                <w:b/>
                <w:sz w:val="19"/>
                <w:szCs w:val="19"/>
              </w:rPr>
              <w:t>True cost at 2.5× ($)</w:t>
            </w:r>
          </w:p>
        </w:tc>
        <w:tc>
          <w:tcPr>
            <w:tcW w:w="4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653E258" w14:textId="77777777" w:rsidR="00F406F6" w:rsidRDefault="011D7950">
            <w:pPr>
              <w:spacing w:after="0"/>
            </w:pPr>
            <w:r w:rsidRPr="011D7950">
              <w:rPr>
                <w:b/>
                <w:color w:val="C62828"/>
                <w:sz w:val="19"/>
                <w:szCs w:val="19"/>
                <w:highlight w:val="yellow"/>
              </w:rPr>
              <w:t xml:space="preserve">  [ CLIENT TO COMPLETE ]</w:t>
            </w:r>
          </w:p>
        </w:tc>
      </w:tr>
    </w:tbl>
    <w:p w14:paraId="41C8F396" w14:textId="77777777" w:rsidR="00F406F6" w:rsidRDefault="00F406F6">
      <w:pPr>
        <w:spacing w:after="40"/>
      </w:pPr>
    </w:p>
    <w:p w14:paraId="7695A7CB" w14:textId="77777777" w:rsidR="00693D65" w:rsidRPr="00627E7D" w:rsidRDefault="00693D65">
      <w:pPr>
        <w:pStyle w:val="heading10"/>
        <w:rPr>
          <w:color w:val="007260"/>
        </w:rPr>
      </w:pPr>
      <w:r w:rsidRPr="00627E7D">
        <w:rPr>
          <w:color w:val="007260"/>
        </w:rPr>
        <w:t>The ask</w:t>
      </w:r>
    </w:p>
    <w:tbl>
      <w:tblPr>
        <w:tblW w:w="10080" w:type="dxa"/>
        <w:tblBorders>
          <w:left w:val="single" w:sz="24" w:space="0" w:color="F57F17"/>
        </w:tblBorders>
        <w:tblCellMar>
          <w:left w:w="10" w:type="dxa"/>
          <w:right w:w="10" w:type="dxa"/>
        </w:tblCellMar>
        <w:tblLook w:val="04A0" w:firstRow="1" w:lastRow="0" w:firstColumn="1" w:lastColumn="0" w:noHBand="0" w:noVBand="1"/>
      </w:tblPr>
      <w:tblGrid>
        <w:gridCol w:w="10080"/>
      </w:tblGrid>
      <w:tr w:rsidR="00F406F6" w14:paraId="431F755F" w14:textId="77777777" w:rsidTr="00302533">
        <w:tblPrEx>
          <w:tblCellMar>
            <w:top w:w="0" w:type="dxa"/>
            <w:bottom w:w="0" w:type="dxa"/>
          </w:tblCellMar>
        </w:tblPrEx>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6B776DBE" w14:textId="77777777" w:rsidR="00302533" w:rsidRDefault="00302533">
            <w:pPr>
              <w:spacing w:after="60"/>
              <w:rPr>
                <w:kern w:val="2"/>
                <w:lang w:val="en-AU" w:eastAsia="en-AU"/>
                <w14:ligatures w14:val="standardContextual"/>
              </w:rPr>
            </w:pPr>
            <w:r>
              <w:rPr>
                <w:b/>
                <w:bCs/>
                <w:color w:val="007260"/>
                <w:sz w:val="22"/>
                <w:szCs w:val="22"/>
              </w:rPr>
              <w:t>What approval looks like</w:t>
            </w:r>
          </w:p>
          <w:p w14:paraId="0D959332" w14:textId="17E6FB06" w:rsidR="00F406F6" w:rsidRDefault="00302533" w:rsidP="00302533">
            <w:pPr>
              <w:spacing w:after="0"/>
            </w:pPr>
            <w:r>
              <w:rPr>
                <w:color w:val="000000"/>
              </w:rPr>
              <w:t xml:space="preserve">Approve roughly 2 hours per week of one person’s time for 4 weeks to begin measuring food waste at </w:t>
            </w:r>
            <w:r w:rsidR="004B17DB">
              <w:rPr>
                <w:color w:val="000000"/>
              </w:rPr>
              <w:t>your</w:t>
            </w:r>
            <w:r>
              <w:rPr>
                <w:color w:val="000000"/>
              </w:rPr>
              <w:t xml:space="preserve"> site. That is all it takes to turn guesswork into a real number — and a real, costed opportunity.</w:t>
            </w:r>
          </w:p>
        </w:tc>
      </w:tr>
    </w:tbl>
    <w:p w14:paraId="72A3D3EC" w14:textId="77777777" w:rsidR="00F406F6" w:rsidRDefault="00F406F6">
      <w:pPr>
        <w:spacing w:after="3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5480"/>
      </w:tblGrid>
      <w:tr w:rsidR="00F406F6" w14:paraId="748BEC05" w14:textId="77777777" w:rsidTr="004E7501">
        <w:tblPrEx>
          <w:tblCellMar>
            <w:top w:w="0" w:type="dxa"/>
            <w:bottom w:w="0" w:type="dxa"/>
          </w:tblCellMar>
        </w:tblPrEx>
        <w:tc>
          <w:tcPr>
            <w:tcW w:w="4600" w:type="dxa"/>
            <w:tcBorders>
              <w:top w:val="single" w:sz="8" w:space="0" w:color="CCCCCC"/>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12A0436F" w14:textId="24E96376" w:rsidR="00F406F6" w:rsidRDefault="004E7501" w:rsidP="004E7501">
            <w:pPr>
              <w:spacing w:after="0"/>
            </w:pPr>
            <w:r>
              <w:rPr>
                <w:b/>
                <w:bCs/>
                <w:color w:val="000000"/>
                <w:sz w:val="19"/>
                <w:szCs w:val="19"/>
              </w:rPr>
              <w:t>Nominated waste sponsor (a leader)</w:t>
            </w:r>
          </w:p>
        </w:tc>
        <w:tc>
          <w:tcPr>
            <w:tcW w:w="5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1D2286E" w14:textId="77777777" w:rsidR="00F406F6" w:rsidRDefault="011D7950">
            <w:pPr>
              <w:spacing w:after="0"/>
            </w:pPr>
            <w:r w:rsidRPr="011D7950">
              <w:rPr>
                <w:b/>
                <w:color w:val="C62828"/>
                <w:sz w:val="19"/>
                <w:szCs w:val="19"/>
                <w:highlight w:val="yellow"/>
              </w:rPr>
              <w:t xml:space="preserve">  [ CLIENT TO COMPLETE ]</w:t>
            </w:r>
          </w:p>
        </w:tc>
      </w:tr>
      <w:tr w:rsidR="00F406F6" w14:paraId="07774E88" w14:textId="77777777" w:rsidTr="011D7950">
        <w:tblPrEx>
          <w:tblCellMar>
            <w:top w:w="0" w:type="dxa"/>
            <w:bottom w:w="0" w:type="dxa"/>
          </w:tblCellMar>
        </w:tblPrEx>
        <w:tc>
          <w:tcPr>
            <w:tcW w:w="4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1ED58F9B" w14:textId="77777777" w:rsidR="00F406F6" w:rsidRDefault="00693D65">
            <w:pPr>
              <w:spacing w:after="0"/>
            </w:pPr>
            <w:r>
              <w:rPr>
                <w:b/>
                <w:bCs/>
                <w:sz w:val="19"/>
                <w:szCs w:val="19"/>
              </w:rPr>
              <w:t>Person who will do the measuring</w:t>
            </w:r>
          </w:p>
        </w:tc>
        <w:tc>
          <w:tcPr>
            <w:tcW w:w="5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0DB51B15" w14:textId="77777777" w:rsidR="00F406F6" w:rsidRDefault="011D7950">
            <w:pPr>
              <w:spacing w:after="0"/>
            </w:pPr>
            <w:r w:rsidRPr="011D7950">
              <w:rPr>
                <w:b/>
                <w:color w:val="C62828"/>
                <w:sz w:val="19"/>
                <w:szCs w:val="19"/>
                <w:highlight w:val="yellow"/>
              </w:rPr>
              <w:t xml:space="preserve">  [ CLIENT TO COMPLETE ]</w:t>
            </w:r>
          </w:p>
        </w:tc>
      </w:tr>
      <w:tr w:rsidR="00F406F6" w14:paraId="078B68B2" w14:textId="77777777" w:rsidTr="004E7501">
        <w:tblPrEx>
          <w:tblCellMar>
            <w:top w:w="0" w:type="dxa"/>
            <w:bottom w:w="0" w:type="dxa"/>
          </w:tblCellMar>
        </w:tblPrEx>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98F9AC3" w14:textId="11CCAB30" w:rsidR="00F406F6" w:rsidRDefault="004E7501" w:rsidP="004E7501">
            <w:pPr>
              <w:spacing w:after="0"/>
            </w:pPr>
            <w:r>
              <w:rPr>
                <w:b/>
                <w:bCs/>
                <w:color w:val="000000"/>
                <w:sz w:val="19"/>
                <w:szCs w:val="19"/>
              </w:rPr>
              <w:t>Start date</w:t>
            </w:r>
          </w:p>
        </w:tc>
        <w:tc>
          <w:tcPr>
            <w:tcW w:w="5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288E7AF" w14:textId="77777777" w:rsidR="00F406F6" w:rsidRDefault="011D7950">
            <w:pPr>
              <w:spacing w:after="0"/>
            </w:pPr>
            <w:r w:rsidRPr="011D7950">
              <w:rPr>
                <w:b/>
                <w:color w:val="C62828"/>
                <w:sz w:val="19"/>
                <w:szCs w:val="19"/>
                <w:highlight w:val="yellow"/>
              </w:rPr>
              <w:t xml:space="preserve">  [ CLIENT TO COMPLETE ]</w:t>
            </w:r>
          </w:p>
        </w:tc>
      </w:tr>
      <w:tr w:rsidR="00F406F6" w14:paraId="3454E9F9" w14:textId="77777777" w:rsidTr="011D7950">
        <w:tblPrEx>
          <w:tblCellMar>
            <w:top w:w="0" w:type="dxa"/>
            <w:bottom w:w="0" w:type="dxa"/>
          </w:tblCellMar>
        </w:tblPrEx>
        <w:tc>
          <w:tcPr>
            <w:tcW w:w="4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2FCD9F3" w14:textId="77777777" w:rsidR="00F406F6" w:rsidRDefault="00693D65">
            <w:pPr>
              <w:spacing w:after="0"/>
            </w:pPr>
            <w:r>
              <w:rPr>
                <w:b/>
                <w:bCs/>
                <w:sz w:val="19"/>
                <w:szCs w:val="19"/>
              </w:rPr>
              <w:t>Review date (4 weeks later)</w:t>
            </w:r>
          </w:p>
        </w:tc>
        <w:tc>
          <w:tcPr>
            <w:tcW w:w="54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161279E" w14:textId="77777777" w:rsidR="00F406F6" w:rsidRDefault="011D7950">
            <w:pPr>
              <w:spacing w:after="0"/>
            </w:pPr>
            <w:r w:rsidRPr="011D7950">
              <w:rPr>
                <w:b/>
                <w:color w:val="C62828"/>
                <w:sz w:val="19"/>
                <w:szCs w:val="19"/>
                <w:highlight w:val="yellow"/>
              </w:rPr>
              <w:t xml:space="preserve">  [ CLIENT TO COMPLETE ]</w:t>
            </w:r>
          </w:p>
        </w:tc>
      </w:tr>
    </w:tbl>
    <w:p w14:paraId="0D0B940D" w14:textId="77777777" w:rsidR="00F406F6" w:rsidRDefault="00F406F6">
      <w:pPr>
        <w:spacing w:after="40"/>
      </w:pPr>
    </w:p>
    <w:p w14:paraId="7F31EBC3" w14:textId="77777777" w:rsidR="00773ECF" w:rsidRDefault="00773ECF">
      <w:pPr>
        <w:pStyle w:val="heading20"/>
        <w:rPr>
          <w:color w:val="007260"/>
        </w:rPr>
      </w:pPr>
    </w:p>
    <w:p w14:paraId="4BCDCCD8" w14:textId="77777777" w:rsidR="00773ECF" w:rsidRDefault="00773ECF">
      <w:pPr>
        <w:pStyle w:val="heading20"/>
        <w:rPr>
          <w:color w:val="007260"/>
        </w:rPr>
      </w:pPr>
    </w:p>
    <w:p w14:paraId="3878FDE2" w14:textId="392E99C4" w:rsidR="00693D65" w:rsidRPr="00E03F33" w:rsidRDefault="00693D65">
      <w:pPr>
        <w:pStyle w:val="heading20"/>
        <w:rPr>
          <w:color w:val="007260"/>
        </w:rPr>
      </w:pPr>
      <w:r w:rsidRPr="00E03F33">
        <w:rPr>
          <w:color w:val="007260"/>
        </w:rPr>
        <w:t>Common questions</w:t>
      </w:r>
    </w:p>
    <w:p w14:paraId="31EB7277" w14:textId="77777777" w:rsidR="00F406F6" w:rsidRDefault="011D7950">
      <w:pPr>
        <w:pStyle w:val="heading30"/>
      </w:pPr>
      <w:r w:rsidRPr="011D7950">
        <w:t>We’re small — is this worth it?</w:t>
      </w:r>
    </w:p>
    <w:p w14:paraId="27A118FE" w14:textId="77777777" w:rsidR="00F406F6" w:rsidRDefault="00693D65">
      <w:r>
        <w:t>Yes. The per</w:t>
      </w:r>
      <w:r>
        <w:t>centages are proportional, so the effort scales down with the business. A small site simply measures fewer areas; the payback ratio is similar.</w:t>
      </w:r>
    </w:p>
    <w:p w14:paraId="79F2975A" w14:textId="77777777" w:rsidR="00F406F6" w:rsidRDefault="011D7950">
      <w:pPr>
        <w:pStyle w:val="heading30"/>
      </w:pPr>
      <w:r w:rsidRPr="011D7950">
        <w:t>We don’t have data. Where do we start?</w:t>
      </w:r>
    </w:p>
    <w:p w14:paraId="0B2E65BA" w14:textId="3705DDD9" w:rsidR="00F406F6" w:rsidRDefault="00693D65">
      <w:r>
        <w:t xml:space="preserve">That is the normal starting point and precisely why the ask is only to begin measuring. The Start Measuring </w:t>
      </w:r>
      <w:r w:rsidR="00920736">
        <w:t>G</w:t>
      </w:r>
      <w:r>
        <w:t>uide (L1.04) takes you from zero to a first number in a week.</w:t>
      </w:r>
    </w:p>
    <w:p w14:paraId="321EC488" w14:textId="77777777" w:rsidR="00F406F6" w:rsidRDefault="00693D65">
      <w:pPr>
        <w:pStyle w:val="heading30"/>
      </w:pPr>
      <w:r>
        <w:t>Won’t this just add work?</w:t>
      </w:r>
    </w:p>
    <w:p w14:paraId="3906808E" w14:textId="77777777" w:rsidR="00F406F6" w:rsidRDefault="011D7950">
      <w:r w:rsidRPr="011D7950">
        <w:t>The initial measuring is light (a few minutes per shift) and time-boxed to four weeks. After that, the waste you remove usually frees up more time and cost than the measuring consumes.</w:t>
      </w:r>
    </w:p>
    <w:p w14:paraId="0E27B00A" w14:textId="77777777" w:rsidR="00F406F6" w:rsidRDefault="00F406F6">
      <w:pPr>
        <w:spacing w:after="40"/>
      </w:pPr>
    </w:p>
    <w:tbl>
      <w:tblPr>
        <w:tblW w:w="10080" w:type="dxa"/>
        <w:tblBorders>
          <w:left w:val="single" w:sz="24" w:space="0" w:color="555555"/>
        </w:tblBorders>
        <w:tblCellMar>
          <w:left w:w="10" w:type="dxa"/>
          <w:right w:w="10" w:type="dxa"/>
        </w:tblCellMar>
        <w:tblLook w:val="04A0" w:firstRow="1" w:lastRow="0" w:firstColumn="1" w:lastColumn="0" w:noHBand="0" w:noVBand="1"/>
      </w:tblPr>
      <w:tblGrid>
        <w:gridCol w:w="10080"/>
      </w:tblGrid>
      <w:tr w:rsidR="003366FD" w14:paraId="5D1E0D49" w14:textId="77777777" w:rsidTr="00183F40">
        <w:tblPrEx>
          <w:tblCellMar>
            <w:top w:w="0" w:type="dxa"/>
            <w:bottom w:w="0" w:type="dxa"/>
          </w:tblCellMar>
        </w:tblPrEx>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4E720D71" w14:textId="77777777" w:rsidR="00183F40" w:rsidRDefault="00183F40">
            <w:pPr>
              <w:spacing w:after="60"/>
              <w:rPr>
                <w:kern w:val="2"/>
                <w:lang w:val="en-AU" w:eastAsia="en-AU"/>
                <w14:ligatures w14:val="standardContextual"/>
              </w:rPr>
            </w:pPr>
            <w:r>
              <w:rPr>
                <w:b/>
                <w:bCs/>
                <w:color w:val="007260"/>
                <w:sz w:val="22"/>
                <w:szCs w:val="22"/>
              </w:rPr>
              <w:t>Using this document</w:t>
            </w:r>
          </w:p>
          <w:p w14:paraId="087A766E" w14:textId="77777777" w:rsidR="003366FD" w:rsidRDefault="00183F40" w:rsidP="00183F40">
            <w:pPr>
              <w:spacing w:after="0"/>
            </w:pPr>
            <w:r>
              <w:rPr>
                <w:color w:val="000000"/>
              </w:rPr>
              <w:t xml:space="preserve">Yellow highlighted </w:t>
            </w:r>
            <w:r>
              <w:rPr>
                <w:b/>
                <w:bCs/>
                <w:color w:val="C62828"/>
                <w:shd w:val="clear" w:color="auto" w:fill="FFFF00"/>
              </w:rPr>
              <w:t>[ CLIENT TO COMPLETE ]</w:t>
            </w:r>
            <w:r>
              <w:rPr>
                <w:color w:val="000000"/>
              </w:rPr>
              <w:t xml:space="preserve"> fields are for you to fill in with your own information. Everything else is ready to use as-is.</w:t>
            </w:r>
          </w:p>
        </w:tc>
      </w:tr>
    </w:tbl>
    <w:p w14:paraId="2371D57E" w14:textId="77777777" w:rsidR="00046AB5" w:rsidRDefault="00046AB5"/>
    <w:sectPr w:rsidR="00046AB5">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9047" w14:textId="77777777" w:rsidR="00693D65" w:rsidRDefault="00693D65">
      <w:pPr>
        <w:spacing w:after="0" w:line="240" w:lineRule="auto"/>
      </w:pPr>
      <w:r>
        <w:separator/>
      </w:r>
    </w:p>
  </w:endnote>
  <w:endnote w:type="continuationSeparator" w:id="0">
    <w:p w14:paraId="5E6B4A05" w14:textId="77777777" w:rsidR="00693D65" w:rsidRDefault="0069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D102" w14:textId="77777777" w:rsidR="0094556B" w:rsidRDefault="0094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1957" w14:textId="089A4197" w:rsidR="00F406F6" w:rsidRDefault="7C2A7896" w:rsidP="7C2A7896">
    <w:pPr>
      <w:pBdr>
        <w:top w:val="single" w:sz="6" w:space="4" w:color="CCCCCC"/>
      </w:pBdr>
      <w:tabs>
        <w:tab w:val="right" w:pos="10080"/>
      </w:tabs>
    </w:pPr>
    <w:r w:rsidRPr="7C2A7896">
      <w:rPr>
        <w:color w:val="555555"/>
        <w:sz w:val="15"/>
        <w:szCs w:val="15"/>
      </w:rPr>
      <w:t xml:space="preserve">End Food Waste Australia  ·  Commercial-in-confidence Page </w:t>
    </w:r>
    <w:r w:rsidR="00693D65" w:rsidRPr="7C2A7896">
      <w:rPr>
        <w:color w:val="555555"/>
        <w:sz w:val="15"/>
        <w:szCs w:val="15"/>
      </w:rPr>
      <w:fldChar w:fldCharType="begin"/>
    </w:r>
    <w:r w:rsidR="00693D65" w:rsidRPr="7C2A7896">
      <w:rPr>
        <w:color w:val="555555"/>
        <w:sz w:val="15"/>
        <w:szCs w:val="15"/>
      </w:rPr>
      <w:instrText>PAGE</w:instrText>
    </w:r>
    <w:r w:rsidR="00693D65" w:rsidRPr="7C2A7896">
      <w:rPr>
        <w:color w:val="555555"/>
        <w:sz w:val="15"/>
        <w:szCs w:val="15"/>
        <w:lang w:val="en-AU"/>
      </w:rPr>
      <w:fldChar w:fldCharType="separate"/>
    </w:r>
    <w:r w:rsidR="00AB5612">
      <w:rPr>
        <w:noProof/>
        <w:color w:val="555555"/>
        <w:sz w:val="15"/>
        <w:szCs w:val="15"/>
      </w:rPr>
      <w:t>1</w:t>
    </w:r>
    <w:r w:rsidR="00693D65" w:rsidRPr="7C2A7896">
      <w:rPr>
        <w:color w:val="555555"/>
        <w:sz w:val="15"/>
        <w:szCs w:val="15"/>
      </w:rPr>
      <w:fldChar w:fldCharType="end"/>
    </w:r>
    <w:r w:rsidRPr="7C2A7896">
      <w:rPr>
        <w:color w:val="555555"/>
        <w:sz w:val="15"/>
        <w:szCs w:val="15"/>
      </w:rPr>
      <w:t xml:space="preserve"> of </w:t>
    </w:r>
    <w:r w:rsidR="00693D65" w:rsidRPr="7C2A7896">
      <w:rPr>
        <w:color w:val="555555"/>
        <w:sz w:val="15"/>
        <w:szCs w:val="15"/>
      </w:rPr>
      <w:fldChar w:fldCharType="begin"/>
    </w:r>
    <w:r w:rsidR="00693D65" w:rsidRPr="7C2A7896">
      <w:rPr>
        <w:color w:val="555555"/>
        <w:sz w:val="15"/>
        <w:szCs w:val="15"/>
      </w:rPr>
      <w:instrText>NUMPAGES</w:instrText>
    </w:r>
    <w:r w:rsidR="00693D65" w:rsidRPr="7C2A7896">
      <w:rPr>
        <w:color w:val="555555"/>
        <w:sz w:val="15"/>
        <w:szCs w:val="15"/>
        <w:lang w:val="en-AU"/>
      </w:rPr>
      <w:fldChar w:fldCharType="separate"/>
    </w:r>
    <w:r w:rsidR="00AB5612">
      <w:rPr>
        <w:noProof/>
        <w:color w:val="555555"/>
        <w:sz w:val="15"/>
        <w:szCs w:val="15"/>
      </w:rPr>
      <w:t>2</w:t>
    </w:r>
    <w:r w:rsidR="00693D65" w:rsidRPr="7C2A7896">
      <w:rPr>
        <w:color w:val="555555"/>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842F" w14:textId="77777777" w:rsidR="0094556B" w:rsidRDefault="0094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10D5" w14:textId="77777777" w:rsidR="00693D65" w:rsidRDefault="00693D65">
      <w:pPr>
        <w:spacing w:after="0" w:line="240" w:lineRule="auto"/>
      </w:pPr>
      <w:r>
        <w:separator/>
      </w:r>
    </w:p>
  </w:footnote>
  <w:footnote w:type="continuationSeparator" w:id="0">
    <w:p w14:paraId="2F1FB599" w14:textId="77777777" w:rsidR="00693D65" w:rsidRDefault="00693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6781" w14:textId="77777777" w:rsidR="0094556B" w:rsidRDefault="00945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1177" w14:textId="7BDFFEDD" w:rsidR="006633BD" w:rsidRDefault="006633BD" w:rsidP="011D7950">
    <w:pPr>
      <w:pBdr>
        <w:bottom w:val="single" w:sz="6" w:space="4" w:color="2E7D32"/>
      </w:pBdr>
      <w:tabs>
        <w:tab w:val="right" w:pos="10080"/>
      </w:tabs>
      <w:rPr>
        <w:b/>
        <w:bCs/>
        <w:color w:val="007260"/>
        <w:sz w:val="16"/>
        <w:szCs w:val="16"/>
      </w:rPr>
    </w:pPr>
    <w:r>
      <w:rPr>
        <w:b/>
        <w:bCs/>
        <w:noProof/>
        <w:color w:val="007260"/>
        <w:sz w:val="16"/>
        <w:szCs w:val="16"/>
      </w:rPr>
      <w:drawing>
        <wp:inline distT="0" distB="0" distL="0" distR="0" wp14:anchorId="5B41714D" wp14:editId="6B8295B3">
          <wp:extent cx="1847850" cy="505593"/>
          <wp:effectExtent l="0" t="0" r="0" b="0"/>
          <wp:docPr id="110923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34006" name="Picture 1109234006"/>
                  <pic:cNvPicPr/>
                </pic:nvPicPr>
                <pic:blipFill>
                  <a:blip r:embed="rId1">
                    <a:extLst>
                      <a:ext uri="{28A0092B-C50C-407E-A947-70E740481C1C}">
                        <a14:useLocalDpi xmlns:a14="http://schemas.microsoft.com/office/drawing/2010/main" val="0"/>
                      </a:ext>
                    </a:extLst>
                  </a:blip>
                  <a:stretch>
                    <a:fillRect/>
                  </a:stretch>
                </pic:blipFill>
                <pic:spPr>
                  <a:xfrm>
                    <a:off x="0" y="0"/>
                    <a:ext cx="1870885" cy="511896"/>
                  </a:xfrm>
                  <a:prstGeom prst="rect">
                    <a:avLst/>
                  </a:prstGeom>
                </pic:spPr>
              </pic:pic>
            </a:graphicData>
          </a:graphic>
        </wp:inline>
      </w:drawing>
    </w:r>
  </w:p>
  <w:p w14:paraId="3F14E865" w14:textId="125848D5" w:rsidR="00F406F6" w:rsidRDefault="011D7950" w:rsidP="011D7950">
    <w:pPr>
      <w:pBdr>
        <w:bottom w:val="single" w:sz="6" w:space="4" w:color="2E7D32"/>
      </w:pBdr>
      <w:tabs>
        <w:tab w:val="right" w:pos="10080"/>
      </w:tabs>
    </w:pPr>
    <w:r w:rsidRPr="00A6738B">
      <w:rPr>
        <w:b/>
        <w:bCs/>
        <w:color w:val="007260"/>
        <w:sz w:val="16"/>
        <w:szCs w:val="16"/>
      </w:rPr>
      <w:t>EFWA Excellence Hub</w:t>
    </w:r>
    <w:r w:rsidR="00A6738B" w:rsidRPr="00A6738B">
      <w:rPr>
        <w:b/>
        <w:bCs/>
        <w:color w:val="007260"/>
        <w:sz w:val="16"/>
        <w:szCs w:val="16"/>
      </w:rPr>
      <w:t xml:space="preserve"> </w:t>
    </w:r>
    <w:r w:rsidRPr="011D7950">
      <w:rPr>
        <w:color w:val="555555"/>
        <w:sz w:val="16"/>
        <w:szCs w:val="16"/>
      </w:rPr>
      <w:t>L1 · Executive Briefing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B16C" w14:textId="77777777" w:rsidR="0094556B" w:rsidRDefault="00945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0F"/>
    <w:multiLevelType w:val="hybridMultilevel"/>
    <w:tmpl w:val="1B607FCA"/>
    <w:lvl w:ilvl="0" w:tplc="F752A1EE">
      <w:start w:val="1"/>
      <w:numFmt w:val="decimal"/>
      <w:lvlText w:val="%1."/>
      <w:lvlJc w:val="left"/>
      <w:pPr>
        <w:ind w:left="520" w:hanging="300"/>
      </w:pPr>
    </w:lvl>
    <w:lvl w:ilvl="1" w:tplc="A5A2CB1A">
      <w:numFmt w:val="decimal"/>
      <w:lvlText w:val=""/>
      <w:lvlJc w:val="left"/>
    </w:lvl>
    <w:lvl w:ilvl="2" w:tplc="5DC6E414">
      <w:numFmt w:val="decimal"/>
      <w:lvlText w:val=""/>
      <w:lvlJc w:val="left"/>
    </w:lvl>
    <w:lvl w:ilvl="3" w:tplc="58DC4AFC">
      <w:numFmt w:val="decimal"/>
      <w:lvlText w:val=""/>
      <w:lvlJc w:val="left"/>
    </w:lvl>
    <w:lvl w:ilvl="4" w:tplc="176E603C">
      <w:numFmt w:val="decimal"/>
      <w:lvlText w:val=""/>
      <w:lvlJc w:val="left"/>
    </w:lvl>
    <w:lvl w:ilvl="5" w:tplc="3E246B50">
      <w:numFmt w:val="decimal"/>
      <w:lvlText w:val=""/>
      <w:lvlJc w:val="left"/>
    </w:lvl>
    <w:lvl w:ilvl="6" w:tplc="7AC2FD90">
      <w:numFmt w:val="decimal"/>
      <w:lvlText w:val=""/>
      <w:lvlJc w:val="left"/>
    </w:lvl>
    <w:lvl w:ilvl="7" w:tplc="1DBACD82">
      <w:numFmt w:val="decimal"/>
      <w:lvlText w:val=""/>
      <w:lvlJc w:val="left"/>
    </w:lvl>
    <w:lvl w:ilvl="8" w:tplc="A44C7C82">
      <w:numFmt w:val="decimal"/>
      <w:lvlText w:val=""/>
      <w:lvlJc w:val="left"/>
    </w:lvl>
  </w:abstractNum>
  <w:abstractNum w:abstractNumId="1" w15:restartNumberingAfterBreak="0">
    <w:nsid w:val="1198254D"/>
    <w:multiLevelType w:val="hybridMultilevel"/>
    <w:tmpl w:val="64885358"/>
    <w:lvl w:ilvl="0" w:tplc="DFFC4324">
      <w:start w:val="1"/>
      <w:numFmt w:val="bullet"/>
      <w:lvlText w:val="☐"/>
      <w:lvlJc w:val="left"/>
      <w:pPr>
        <w:ind w:left="520" w:hanging="300"/>
      </w:pPr>
    </w:lvl>
    <w:lvl w:ilvl="1" w:tplc="1B84D8C6">
      <w:numFmt w:val="decimal"/>
      <w:lvlText w:val=""/>
      <w:lvlJc w:val="left"/>
    </w:lvl>
    <w:lvl w:ilvl="2" w:tplc="AF061588">
      <w:numFmt w:val="decimal"/>
      <w:lvlText w:val=""/>
      <w:lvlJc w:val="left"/>
    </w:lvl>
    <w:lvl w:ilvl="3" w:tplc="82243F06">
      <w:numFmt w:val="decimal"/>
      <w:lvlText w:val=""/>
      <w:lvlJc w:val="left"/>
    </w:lvl>
    <w:lvl w:ilvl="4" w:tplc="2D627B66">
      <w:numFmt w:val="decimal"/>
      <w:lvlText w:val=""/>
      <w:lvlJc w:val="left"/>
    </w:lvl>
    <w:lvl w:ilvl="5" w:tplc="698A4442">
      <w:numFmt w:val="decimal"/>
      <w:lvlText w:val=""/>
      <w:lvlJc w:val="left"/>
    </w:lvl>
    <w:lvl w:ilvl="6" w:tplc="EA6E2D4E">
      <w:numFmt w:val="decimal"/>
      <w:lvlText w:val=""/>
      <w:lvlJc w:val="left"/>
    </w:lvl>
    <w:lvl w:ilvl="7" w:tplc="5C161440">
      <w:numFmt w:val="decimal"/>
      <w:lvlText w:val=""/>
      <w:lvlJc w:val="left"/>
    </w:lvl>
    <w:lvl w:ilvl="8" w:tplc="26CE1C06">
      <w:numFmt w:val="decimal"/>
      <w:lvlText w:val=""/>
      <w:lvlJc w:val="left"/>
    </w:lvl>
  </w:abstractNum>
  <w:abstractNum w:abstractNumId="2" w15:restartNumberingAfterBreak="0">
    <w:nsid w:val="385B39C9"/>
    <w:multiLevelType w:val="hybridMultilevel"/>
    <w:tmpl w:val="167E68B8"/>
    <w:lvl w:ilvl="0" w:tplc="DF30D5D0">
      <w:start w:val="1"/>
      <w:numFmt w:val="bullet"/>
      <w:lvlText w:val="•"/>
      <w:lvlJc w:val="left"/>
      <w:pPr>
        <w:ind w:left="520" w:hanging="260"/>
      </w:pPr>
    </w:lvl>
    <w:lvl w:ilvl="1" w:tplc="0DF61B4C">
      <w:numFmt w:val="decimal"/>
      <w:lvlText w:val=""/>
      <w:lvlJc w:val="left"/>
    </w:lvl>
    <w:lvl w:ilvl="2" w:tplc="B15A6DF4">
      <w:numFmt w:val="decimal"/>
      <w:lvlText w:val=""/>
      <w:lvlJc w:val="left"/>
    </w:lvl>
    <w:lvl w:ilvl="3" w:tplc="BC34BFFA">
      <w:numFmt w:val="decimal"/>
      <w:lvlText w:val=""/>
      <w:lvlJc w:val="left"/>
    </w:lvl>
    <w:lvl w:ilvl="4" w:tplc="5C604D62">
      <w:numFmt w:val="decimal"/>
      <w:lvlText w:val=""/>
      <w:lvlJc w:val="left"/>
    </w:lvl>
    <w:lvl w:ilvl="5" w:tplc="400A3AAC">
      <w:numFmt w:val="decimal"/>
      <w:lvlText w:val=""/>
      <w:lvlJc w:val="left"/>
    </w:lvl>
    <w:lvl w:ilvl="6" w:tplc="35D20638">
      <w:numFmt w:val="decimal"/>
      <w:lvlText w:val=""/>
      <w:lvlJc w:val="left"/>
    </w:lvl>
    <w:lvl w:ilvl="7" w:tplc="F0C69FBE">
      <w:numFmt w:val="decimal"/>
      <w:lvlText w:val=""/>
      <w:lvlJc w:val="left"/>
    </w:lvl>
    <w:lvl w:ilvl="8" w:tplc="BBEE3FD2">
      <w:numFmt w:val="decimal"/>
      <w:lvlText w:val=""/>
      <w:lvlJc w:val="left"/>
    </w:lvl>
  </w:abstractNum>
  <w:abstractNum w:abstractNumId="3" w15:restartNumberingAfterBreak="0">
    <w:nsid w:val="7CA1A835"/>
    <w:multiLevelType w:val="hybridMultilevel"/>
    <w:tmpl w:val="6AA4AF40"/>
    <w:lvl w:ilvl="0" w:tplc="B798CBEE">
      <w:start w:val="1"/>
      <w:numFmt w:val="bullet"/>
      <w:lvlText w:val="●"/>
      <w:lvlJc w:val="left"/>
      <w:pPr>
        <w:ind w:left="720" w:hanging="360"/>
      </w:pPr>
    </w:lvl>
    <w:lvl w:ilvl="1" w:tplc="0C4AD454">
      <w:start w:val="1"/>
      <w:numFmt w:val="bullet"/>
      <w:lvlText w:val="○"/>
      <w:lvlJc w:val="left"/>
      <w:pPr>
        <w:ind w:left="1440" w:hanging="360"/>
      </w:pPr>
    </w:lvl>
    <w:lvl w:ilvl="2" w:tplc="4A481FEE">
      <w:start w:val="1"/>
      <w:numFmt w:val="bullet"/>
      <w:lvlText w:val="■"/>
      <w:lvlJc w:val="left"/>
      <w:pPr>
        <w:ind w:left="2160" w:hanging="360"/>
      </w:pPr>
    </w:lvl>
    <w:lvl w:ilvl="3" w:tplc="57607C1A">
      <w:start w:val="1"/>
      <w:numFmt w:val="bullet"/>
      <w:lvlText w:val="●"/>
      <w:lvlJc w:val="left"/>
      <w:pPr>
        <w:ind w:left="2880" w:hanging="360"/>
      </w:pPr>
    </w:lvl>
    <w:lvl w:ilvl="4" w:tplc="8C60D17A">
      <w:start w:val="1"/>
      <w:numFmt w:val="bullet"/>
      <w:lvlText w:val="○"/>
      <w:lvlJc w:val="left"/>
      <w:pPr>
        <w:ind w:left="3600" w:hanging="360"/>
      </w:pPr>
    </w:lvl>
    <w:lvl w:ilvl="5" w:tplc="EEB43556">
      <w:start w:val="1"/>
      <w:numFmt w:val="bullet"/>
      <w:lvlText w:val="■"/>
      <w:lvlJc w:val="left"/>
      <w:pPr>
        <w:ind w:left="4320" w:hanging="360"/>
      </w:pPr>
    </w:lvl>
    <w:lvl w:ilvl="6" w:tplc="773EF058">
      <w:start w:val="1"/>
      <w:numFmt w:val="bullet"/>
      <w:lvlText w:val="●"/>
      <w:lvlJc w:val="left"/>
      <w:pPr>
        <w:ind w:left="5040" w:hanging="360"/>
      </w:pPr>
    </w:lvl>
    <w:lvl w:ilvl="7" w:tplc="F3ACAC5C">
      <w:start w:val="1"/>
      <w:numFmt w:val="bullet"/>
      <w:lvlText w:val="●"/>
      <w:lvlJc w:val="left"/>
      <w:pPr>
        <w:ind w:left="5760" w:hanging="360"/>
      </w:pPr>
    </w:lvl>
    <w:lvl w:ilvl="8" w:tplc="D0640600">
      <w:start w:val="1"/>
      <w:numFmt w:val="bullet"/>
      <w:lvlText w:val="●"/>
      <w:lvlJc w:val="left"/>
      <w:pPr>
        <w:ind w:left="6480" w:hanging="360"/>
      </w:pPr>
    </w:lvl>
  </w:abstractNum>
  <w:num w:numId="1" w16cid:durableId="111779402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1D7950"/>
    <w:rsid w:val="00015C63"/>
    <w:rsid w:val="00026D34"/>
    <w:rsid w:val="00046AB5"/>
    <w:rsid w:val="0007006B"/>
    <w:rsid w:val="00071400"/>
    <w:rsid w:val="00081878"/>
    <w:rsid w:val="00092157"/>
    <w:rsid w:val="000F5A98"/>
    <w:rsid w:val="00110624"/>
    <w:rsid w:val="00111A65"/>
    <w:rsid w:val="00111E4D"/>
    <w:rsid w:val="00135533"/>
    <w:rsid w:val="00154EA8"/>
    <w:rsid w:val="00183F40"/>
    <w:rsid w:val="00185E48"/>
    <w:rsid w:val="001878CD"/>
    <w:rsid w:val="001D183C"/>
    <w:rsid w:val="001E4BA1"/>
    <w:rsid w:val="00201543"/>
    <w:rsid w:val="002424DC"/>
    <w:rsid w:val="002D5B95"/>
    <w:rsid w:val="00300590"/>
    <w:rsid w:val="00302533"/>
    <w:rsid w:val="00302802"/>
    <w:rsid w:val="003366FD"/>
    <w:rsid w:val="003450F5"/>
    <w:rsid w:val="00354AF0"/>
    <w:rsid w:val="003E7F63"/>
    <w:rsid w:val="003F16AF"/>
    <w:rsid w:val="00435DC3"/>
    <w:rsid w:val="00496306"/>
    <w:rsid w:val="004B17DB"/>
    <w:rsid w:val="004E7501"/>
    <w:rsid w:val="0056759E"/>
    <w:rsid w:val="005D0DF6"/>
    <w:rsid w:val="005D1CE3"/>
    <w:rsid w:val="005E2759"/>
    <w:rsid w:val="00627E7D"/>
    <w:rsid w:val="006633BD"/>
    <w:rsid w:val="0067611E"/>
    <w:rsid w:val="00693D65"/>
    <w:rsid w:val="006F56A8"/>
    <w:rsid w:val="00706080"/>
    <w:rsid w:val="00773ECF"/>
    <w:rsid w:val="0079670E"/>
    <w:rsid w:val="007B3953"/>
    <w:rsid w:val="008151A5"/>
    <w:rsid w:val="008451D2"/>
    <w:rsid w:val="00893CF5"/>
    <w:rsid w:val="00893DD6"/>
    <w:rsid w:val="008B3239"/>
    <w:rsid w:val="008D38F5"/>
    <w:rsid w:val="00903C9C"/>
    <w:rsid w:val="00920736"/>
    <w:rsid w:val="0094556B"/>
    <w:rsid w:val="009E774C"/>
    <w:rsid w:val="009F4DA7"/>
    <w:rsid w:val="00A01C1D"/>
    <w:rsid w:val="00A6738B"/>
    <w:rsid w:val="00AB5612"/>
    <w:rsid w:val="00AF3577"/>
    <w:rsid w:val="00B002F7"/>
    <w:rsid w:val="00B2310E"/>
    <w:rsid w:val="00BA6412"/>
    <w:rsid w:val="00BC04B4"/>
    <w:rsid w:val="00BD3E99"/>
    <w:rsid w:val="00C14AF8"/>
    <w:rsid w:val="00C16222"/>
    <w:rsid w:val="00C27BC5"/>
    <w:rsid w:val="00C32EC0"/>
    <w:rsid w:val="00C45E2B"/>
    <w:rsid w:val="00C63E5C"/>
    <w:rsid w:val="00C64672"/>
    <w:rsid w:val="00C8532A"/>
    <w:rsid w:val="00D1666C"/>
    <w:rsid w:val="00D958BB"/>
    <w:rsid w:val="00DC314E"/>
    <w:rsid w:val="00DC6459"/>
    <w:rsid w:val="00DC67BD"/>
    <w:rsid w:val="00DD4CD8"/>
    <w:rsid w:val="00E03F33"/>
    <w:rsid w:val="00E9441A"/>
    <w:rsid w:val="00E953A8"/>
    <w:rsid w:val="00EB5E55"/>
    <w:rsid w:val="00F406F6"/>
    <w:rsid w:val="00F84A84"/>
    <w:rsid w:val="00FA3648"/>
    <w:rsid w:val="011D7950"/>
    <w:rsid w:val="016A748D"/>
    <w:rsid w:val="054C4822"/>
    <w:rsid w:val="309D1166"/>
    <w:rsid w:val="7C2A78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0FEB"/>
  <w15:docId w15:val="{9A1A49F5-AE31-4AC1-B752-C5F41BC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itle0">
    <w:name w:val="Title0"/>
    <w:basedOn w:val="Normal"/>
    <w:next w:val="Normal"/>
    <w:pPr>
      <w:spacing w:after="80"/>
    </w:pPr>
    <w:rPr>
      <w:b/>
      <w:bCs/>
      <w:color w:val="1B5E20"/>
      <w:sz w:val="48"/>
      <w:szCs w:val="48"/>
    </w:rPr>
  </w:style>
  <w:style w:type="paragraph" w:customStyle="1" w:styleId="heading10">
    <w:name w:val="heading 10"/>
    <w:basedOn w:val="Normal"/>
    <w:next w:val="Normal"/>
    <w:qFormat/>
    <w:pPr>
      <w:spacing w:before="240"/>
      <w:outlineLvl w:val="0"/>
    </w:pPr>
    <w:rPr>
      <w:b/>
      <w:bCs/>
      <w:color w:val="1B5E20"/>
      <w:sz w:val="30"/>
      <w:szCs w:val="30"/>
    </w:rPr>
  </w:style>
  <w:style w:type="paragraph" w:customStyle="1" w:styleId="heading20">
    <w:name w:val="heading 20"/>
    <w:basedOn w:val="Normal"/>
    <w:next w:val="Normal"/>
    <w:qFormat/>
    <w:pPr>
      <w:spacing w:before="200" w:after="100"/>
      <w:outlineLvl w:val="1"/>
    </w:pPr>
    <w:rPr>
      <w:b/>
      <w:bCs/>
      <w:color w:val="2E7D32"/>
      <w:sz w:val="24"/>
      <w:szCs w:val="24"/>
    </w:rPr>
  </w:style>
  <w:style w:type="paragraph" w:customStyle="1" w:styleId="heading30">
    <w:name w:val="heading 30"/>
    <w:basedOn w:val="Normal"/>
    <w:next w:val="Normal"/>
    <w:qFormat/>
    <w:pPr>
      <w:spacing w:before="140" w:after="60"/>
      <w:outlineLvl w:val="2"/>
    </w:pPr>
    <w:rPr>
      <w:b/>
      <w:bCs/>
      <w:color w:val="333333"/>
    </w:rPr>
  </w:style>
  <w:style w:type="paragraph" w:styleId="Header">
    <w:name w:val="header"/>
    <w:basedOn w:val="Normal"/>
    <w:link w:val="HeaderChar"/>
    <w:uiPriority w:val="99"/>
    <w:unhideWhenUsed/>
    <w:rsid w:val="0081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12"/>
  </w:style>
  <w:style w:type="paragraph" w:styleId="Footer">
    <w:name w:val="footer"/>
    <w:basedOn w:val="Normal"/>
    <w:link w:val="FooterChar"/>
    <w:uiPriority w:val="99"/>
    <w:unhideWhenUsed/>
    <w:rsid w:val="0081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1b8ca-a4f4-4f1d-a350-a87b4d2b4a74">
      <Terms xmlns="http://schemas.microsoft.com/office/infopath/2007/PartnerControls"/>
    </lcf76f155ced4ddcb4097134ff3c332f>
    <TaxCatchAll xmlns="757fca47-ae8b-4686-b2b5-a10067c435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432F45DD22141ADF8AA9A6C9A83AC" ma:contentTypeVersion="16" ma:contentTypeDescription="Create a new document." ma:contentTypeScope="" ma:versionID="83d41547f89c592d4790cbe544394c02">
  <xsd:schema xmlns:xsd="http://www.w3.org/2001/XMLSchema" xmlns:xs="http://www.w3.org/2001/XMLSchema" xmlns:p="http://schemas.microsoft.com/office/2006/metadata/properties" xmlns:ns2="0b41b8ca-a4f4-4f1d-a350-a87b4d2b4a74" xmlns:ns3="757fca47-ae8b-4686-b2b5-a10067c43534" targetNamespace="http://schemas.microsoft.com/office/2006/metadata/properties" ma:root="true" ma:fieldsID="94ff3e8694f8c0f4490d906d607e4987" ns2:_="" ns3:_="">
    <xsd:import namespace="0b41b8ca-a4f4-4f1d-a350-a87b4d2b4a74"/>
    <xsd:import namespace="757fca47-ae8b-4686-b2b5-a10067c435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b8ca-a4f4-4f1d-a350-a87b4d2b4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e47dcd-2ffb-410b-9bd9-2c49346c88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ca47-ae8b-4686-b2b5-a10067c435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d4bafa-d29c-4f33-bded-f745678c8826}" ma:internalName="TaxCatchAll" ma:showField="CatchAllData" ma:web="757fca47-ae8b-4686-b2b5-a10067c435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9966A-CB0C-4175-9D38-DA605C9EF0C3}">
  <ds:schemaRefs>
    <ds:schemaRef ds:uri="http://schemas.microsoft.com/office/2006/metadata/properties"/>
    <ds:schemaRef ds:uri="http://schemas.microsoft.com/office/infopath/2007/PartnerControls"/>
    <ds:schemaRef ds:uri="0b41b8ca-a4f4-4f1d-a350-a87b4d2b4a74"/>
    <ds:schemaRef ds:uri="757fca47-ae8b-4686-b2b5-a10067c43534"/>
  </ds:schemaRefs>
</ds:datastoreItem>
</file>

<file path=customXml/itemProps2.xml><?xml version="1.0" encoding="utf-8"?>
<ds:datastoreItem xmlns:ds="http://schemas.openxmlformats.org/officeDocument/2006/customXml" ds:itemID="{15894529-2573-41A7-B1C8-EDCCA276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1b8ca-a4f4-4f1d-a350-a87b4d2b4a74"/>
    <ds:schemaRef ds:uri="757fca47-ae8b-4686-b2b5-a10067c43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B1DA5-D5EA-40EF-A81A-1B11CC1DA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643</Words>
  <Characters>3667</Characters>
  <Application>Microsoft Office Word</Application>
  <DocSecurity>4</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Nick Cork</cp:lastModifiedBy>
  <cp:revision>47</cp:revision>
  <dcterms:created xsi:type="dcterms:W3CDTF">2026-07-03T00:02:00Z</dcterms:created>
  <dcterms:modified xsi:type="dcterms:W3CDTF">2026-07-08T06:53:00Z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0x010100C2F432F45DD22141ADF8AA9A6C9A83AC</vt:lpwstr>
  </property>
</Properties>
</file>