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E0C6" w14:textId="77777777" w:rsidR="003A46FF" w:rsidRDefault="003A46FF">
      <w:pPr>
        <w:spacing w:after="200"/>
      </w:pPr>
      <w:r w:rsidRPr="00D37CFF">
        <w:rPr>
          <w:b/>
          <w:color w:val="007260"/>
          <w:sz w:val="18"/>
          <w:szCs w:val="18"/>
        </w:rPr>
        <w:t>EFWA EXCELLENCE HUB</w:t>
      </w:r>
      <w:r w:rsidRPr="2CA2FA2B">
        <w:rPr>
          <w:b/>
          <w:bCs/>
          <w:color w:val="F57F17"/>
          <w:sz w:val="18"/>
          <w:szCs w:val="18"/>
        </w:rPr>
        <w:t xml:space="preserve">     </w:t>
      </w:r>
      <w:r w:rsidRPr="002661E8">
        <w:rPr>
          <w:b/>
          <w:bCs/>
          <w:color w:val="7F7F7F" w:themeColor="text1" w:themeTint="80"/>
          <w:sz w:val="18"/>
          <w:szCs w:val="18"/>
        </w:rPr>
        <w:t>Level 2 · Processes &amp; Tracking</w:t>
      </w:r>
    </w:p>
    <w:p w14:paraId="6396EC88" w14:textId="77777777" w:rsidR="003A46FF" w:rsidRDefault="003A46FF">
      <w:pPr>
        <w:pStyle w:val="Title0"/>
        <w:rPr>
          <w:color w:val="007260"/>
        </w:rPr>
      </w:pPr>
      <w:r w:rsidRPr="000C3326">
        <w:rPr>
          <w:color w:val="007260"/>
        </w:rPr>
        <w:t>Monthly Food Waste Report</w:t>
      </w:r>
    </w:p>
    <w:p w14:paraId="1FD9CC9B" w14:textId="77777777" w:rsidR="001B1D7B" w:rsidRDefault="2CA2FA2B">
      <w:pPr>
        <w:spacing w:after="60"/>
      </w:pPr>
      <w:r w:rsidRPr="2CA2FA2B">
        <w:rPr>
          <w:color w:val="555555"/>
          <w:sz w:val="22"/>
          <w:szCs w:val="22"/>
          <w:lang w:val="en-US"/>
        </w:rPr>
        <w:t>A ready-to-fill report that turns a month of logging into a decision-ready summary</w:t>
      </w:r>
    </w:p>
    <w:p w14:paraId="3C602AA8" w14:textId="77777777" w:rsidR="000C3326" w:rsidRDefault="000C3326">
      <w:pPr>
        <w:spacing w:after="140"/>
        <w:rPr>
          <w:kern w:val="2"/>
          <w14:ligatures w14:val="standardContextual"/>
        </w:rPr>
      </w:pPr>
    </w:p>
    <w:tbl>
      <w:tblPr>
        <w:tblW w:w="10080" w:type="dxa"/>
        <w:tblBorders>
          <w:left w:val="single" w:sz="24" w:space="0" w:color="2E7D32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B1D7B" w14:paraId="64BBC904" w14:textId="77777777" w:rsidTr="000C3326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FD8E68D" w14:textId="77777777" w:rsidR="000C3326" w:rsidRDefault="000C3326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New to this? Start here</w:t>
            </w:r>
          </w:p>
          <w:p w14:paraId="1BCE8209" w14:textId="46A92BF1" w:rsidR="001B1D7B" w:rsidRDefault="000C3326" w:rsidP="000C3326">
            <w:pPr>
              <w:spacing w:after="0"/>
            </w:pPr>
            <w:r>
              <w:rPr>
                <w:color w:val="000000"/>
                <w:lang w:val="en-US"/>
              </w:rPr>
              <w:t>This report is how your measuring earns its keep</w:t>
            </w:r>
            <w:r w:rsidR="00F35E14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it packages the month into something leadership and customers can act on. Fill</w:t>
            </w:r>
            <w:r w:rsidR="00F35E14">
              <w:rPr>
                <w:color w:val="000000"/>
                <w:lang w:val="en-US"/>
              </w:rPr>
              <w:t xml:space="preserve"> in</w:t>
            </w:r>
            <w:r>
              <w:rPr>
                <w:color w:val="000000"/>
                <w:lang w:val="en-US"/>
              </w:rPr>
              <w:t xml:space="preserve"> the highlighted fields from your weekly summaries. Aim for one page of numbers and half a page of narrative.</w:t>
            </w:r>
          </w:p>
        </w:tc>
      </w:tr>
    </w:tbl>
    <w:p w14:paraId="0A37501D" w14:textId="77777777" w:rsidR="001B1D7B" w:rsidRDefault="001B1D7B">
      <w:pPr>
        <w:spacing w:after="20"/>
      </w:pPr>
    </w:p>
    <w:tbl>
      <w:tblPr>
        <w:tblW w:w="10080" w:type="dxa"/>
        <w:tblBorders>
          <w:left w:val="single" w:sz="24" w:space="0" w:color="F57F1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B1D7B" w14:paraId="12EF5BAB" w14:textId="77777777" w:rsidTr="00630DBB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AC3F141" w14:textId="77777777" w:rsidR="00630DBB" w:rsidRDefault="00630DBB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What makes a report land</w:t>
            </w:r>
          </w:p>
          <w:p w14:paraId="7321BA32" w14:textId="60C82B2D" w:rsidR="001B1D7B" w:rsidRDefault="00630DBB" w:rsidP="00630DBB">
            <w:pPr>
              <w:spacing w:after="0"/>
            </w:pPr>
            <w:r>
              <w:rPr>
                <w:color w:val="000000"/>
                <w:lang w:val="en-US"/>
              </w:rPr>
              <w:t>Lead with the headline number and the trend (up or down vs last month). Leaders read the first line and the chart</w:t>
            </w:r>
            <w:r w:rsidR="00E009B9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make those count, then let the detail support them.</w:t>
            </w:r>
          </w:p>
        </w:tc>
      </w:tr>
    </w:tbl>
    <w:p w14:paraId="5DAB6C7B" w14:textId="77777777" w:rsidR="001B1D7B" w:rsidRDefault="001B1D7B">
      <w:pPr>
        <w:spacing w:after="3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080"/>
      </w:tblGrid>
      <w:tr w:rsidR="001B1D7B" w14:paraId="4D10ED4E" w14:textId="77777777" w:rsidTr="000C3326">
        <w:tc>
          <w:tcPr>
            <w:tcW w:w="3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64A5790" w14:textId="483B6D78" w:rsidR="001B1D7B" w:rsidRDefault="000C3326" w:rsidP="000C3326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Site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4C1ED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6FAFFF42" w14:textId="77777777" w:rsidTr="2CA2FA2B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9023EF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Reporting month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A3DF7D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14DFE67E" w14:textId="77777777" w:rsidTr="000C3326">
        <w:tc>
          <w:tcPr>
            <w:tcW w:w="3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ADDA7A6" w14:textId="1BEBA7B9" w:rsidR="001B1D7B" w:rsidRDefault="000C3326" w:rsidP="000C3326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Prepared by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BD849B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7167360A" w14:textId="77777777" w:rsidTr="2CA2FA2B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072FA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Date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3E258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02EB378F" w14:textId="77777777" w:rsidR="001B1D7B" w:rsidRDefault="001B1D7B">
      <w:pPr>
        <w:spacing w:after="20"/>
      </w:pPr>
    </w:p>
    <w:p w14:paraId="3BCAD7EF" w14:textId="77777777" w:rsidR="003A46FF" w:rsidRDefault="003A46FF">
      <w:pPr>
        <w:pStyle w:val="heading10"/>
        <w:rPr>
          <w:color w:val="007260"/>
        </w:rPr>
      </w:pPr>
      <w:r w:rsidRPr="00DA7C70">
        <w:rPr>
          <w:color w:val="007260"/>
        </w:rPr>
        <w:t>1. Headline result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0"/>
        <w:gridCol w:w="5080"/>
      </w:tblGrid>
      <w:tr w:rsidR="001B1D7B" w14:paraId="44415CF3" w14:textId="77777777" w:rsidTr="00DA7C70">
        <w:tc>
          <w:tcPr>
            <w:tcW w:w="5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01813FD5" w14:textId="3AF5B99E" w:rsidR="001B1D7B" w:rsidRDefault="00DA7C70" w:rsidP="00DA7C70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Total waste this month (kg)</w:t>
            </w:r>
          </w:p>
        </w:tc>
        <w:tc>
          <w:tcPr>
            <w:tcW w:w="5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D2286E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49E8B070" w14:textId="77777777" w:rsidTr="2CA2FA2B"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EBA156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Change vs last month (%)</w:t>
            </w:r>
          </w:p>
        </w:tc>
        <w:tc>
          <w:tcPr>
            <w:tcW w:w="5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B51B15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1130A74B" w14:textId="77777777" w:rsidTr="00DA7C70"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2C27DE6" w14:textId="316260A0" w:rsidR="001B1D7B" w:rsidRDefault="00DA7C70" w:rsidP="00DA7C70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Estimated cost of waste ($)</w:t>
            </w:r>
          </w:p>
        </w:tc>
        <w:tc>
          <w:tcPr>
            <w:tcW w:w="5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8E7AF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0973AC72" w14:textId="77777777" w:rsidTr="2CA2FA2B">
        <w:tc>
          <w:tcPr>
            <w:tcW w:w="5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135FF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Progress against target</w:t>
            </w:r>
          </w:p>
        </w:tc>
        <w:tc>
          <w:tcPr>
            <w:tcW w:w="5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1279E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7C700E78" w14:textId="77777777" w:rsidR="003A46FF" w:rsidRDefault="003A46FF">
      <w:pPr>
        <w:pStyle w:val="heading10"/>
        <w:rPr>
          <w:color w:val="007260"/>
        </w:rPr>
      </w:pPr>
      <w:r w:rsidRPr="005C765E">
        <w:rPr>
          <w:color w:val="007260"/>
        </w:rPr>
        <w:t>2. Waste by category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2"/>
        <w:gridCol w:w="2395"/>
        <w:gridCol w:w="3473"/>
      </w:tblGrid>
      <w:tr w:rsidR="005C765E" w14:paraId="6C6A90D9" w14:textId="77777777" w:rsidTr="005C765E">
        <w:tc>
          <w:tcPr>
            <w:tcW w:w="4200" w:type="dxa"/>
            <w:tcBorders>
              <w:top w:val="single" w:sz="8" w:space="0" w:color="007260"/>
              <w:left w:val="single" w:sz="8" w:space="0" w:color="007260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138F171" w14:textId="77777777" w:rsidR="005C765E" w:rsidRDefault="005C765E">
            <w:pPr>
              <w:spacing w:after="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Category</w:t>
            </w:r>
          </w:p>
        </w:tc>
        <w:tc>
          <w:tcPr>
            <w:tcW w:w="240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0936241" w14:textId="77777777" w:rsidR="005C765E" w:rsidRDefault="005C765E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kg</w:t>
            </w:r>
          </w:p>
        </w:tc>
        <w:tc>
          <w:tcPr>
            <w:tcW w:w="3480" w:type="dxa"/>
            <w:tcBorders>
              <w:top w:val="single" w:sz="8" w:space="0" w:color="007260"/>
              <w:left w:val="nil"/>
              <w:bottom w:val="single" w:sz="8" w:space="0" w:color="007260"/>
              <w:right w:val="single" w:sz="8" w:space="0" w:color="007260"/>
            </w:tcBorders>
            <w:shd w:val="clear" w:color="auto" w:fill="007260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12D2829" w14:textId="77777777" w:rsidR="005C765E" w:rsidRDefault="005C765E">
            <w:pPr>
              <w:spacing w:after="0"/>
            </w:pPr>
            <w:r>
              <w:rPr>
                <w:b/>
                <w:bCs/>
                <w:color w:val="FFFFFF"/>
                <w:sz w:val="19"/>
                <w:szCs w:val="19"/>
              </w:rPr>
              <w:t>% of total</w:t>
            </w:r>
          </w:p>
        </w:tc>
      </w:tr>
      <w:tr w:rsidR="001B1D7B" w14:paraId="24BC9D3D" w14:textId="77777777" w:rsidTr="005C7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10A7030B" w14:textId="79A4B68D" w:rsidR="001B1D7B" w:rsidRDefault="005C765E" w:rsidP="005C765E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Raw / ingredient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9D6B04F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959E7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1D7B" w14:paraId="3C668A5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9D813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WIP (trim)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00C5B58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F40E89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1D7B" w14:paraId="17C0E67E" w14:textId="77777777" w:rsidTr="005C7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45B6305A" w14:textId="79817CAF" w:rsidR="001B1D7B" w:rsidRDefault="005C765E" w:rsidP="005C765E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Finished product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608DEACE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AC6FC9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1D7B" w14:paraId="39059D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C9228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Plate / return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56A6281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876B09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1D7B" w14:paraId="47CC9825" w14:textId="77777777" w:rsidTr="005C76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7EDD07EF" w14:textId="65BF3F72" w:rsidR="001B1D7B" w:rsidRDefault="005C765E" w:rsidP="005C765E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>Spoilage / expiry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0146664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68B9CD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1B1D7B" w14:paraId="1408A68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53985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1B7172F4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8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5CE300" w14:textId="77777777" w:rsidR="001B1D7B" w:rsidRDefault="003A46FF">
            <w:pPr>
              <w:spacing w:after="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1BED1150" w14:textId="77777777" w:rsidR="003A46FF" w:rsidRDefault="003A46FF">
      <w:pPr>
        <w:pStyle w:val="heading10"/>
        <w:rPr>
          <w:color w:val="007260"/>
        </w:rPr>
      </w:pPr>
      <w:r w:rsidRPr="00574D6F">
        <w:rPr>
          <w:color w:val="007260"/>
        </w:rPr>
        <w:t>3. Top 3 causes this month</w:t>
      </w:r>
    </w:p>
    <w:p w14:paraId="3784CD4F" w14:textId="77777777" w:rsidR="001B1D7B" w:rsidRDefault="2CA2FA2B">
      <w:r w:rsidRPr="2CA2FA2B">
        <w:rPr>
          <w:lang w:val="en-US"/>
        </w:rPr>
        <w:t>Use cause codes from the Standard Cause List (L2.10) so causes are comparable month to month.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7080"/>
      </w:tblGrid>
      <w:tr w:rsidR="001B1D7B" w14:paraId="3E99F8CA" w14:textId="77777777" w:rsidTr="00574D6F">
        <w:tc>
          <w:tcPr>
            <w:tcW w:w="30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22DC6BA3" w14:textId="35D8A46F" w:rsidR="001B1D7B" w:rsidRDefault="00574D6F" w:rsidP="00574D6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Cause 1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D3FD9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66FA373E" w14:textId="77777777" w:rsidTr="2CA2FA2B"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8389A9" w14:textId="77777777" w:rsidR="001B1D7B" w:rsidRDefault="003A46FF">
            <w:pPr>
              <w:spacing w:after="0"/>
            </w:pPr>
            <w:r>
              <w:rPr>
                <w:b/>
                <w:bCs/>
                <w:sz w:val="19"/>
                <w:szCs w:val="19"/>
              </w:rPr>
              <w:t>Cause 2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C34D7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  <w:tr w:rsidR="001B1D7B" w14:paraId="3F964CFC" w14:textId="77777777" w:rsidTr="00574D6F">
        <w:tc>
          <w:tcPr>
            <w:tcW w:w="3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6F1ED"/>
            <w:tcMar>
              <w:top w:w="80" w:type="dxa"/>
              <w:left w:w="120" w:type="dxa"/>
              <w:bottom w:w="80" w:type="dxa"/>
              <w:right w:w="120" w:type="dxa"/>
            </w:tcMar>
            <w:hideMark/>
          </w:tcPr>
          <w:p w14:paraId="3A469F29" w14:textId="32A16CD1" w:rsidR="001B1D7B" w:rsidRDefault="00574D6F" w:rsidP="00574D6F">
            <w:pPr>
              <w:spacing w:after="0"/>
            </w:pPr>
            <w:r>
              <w:rPr>
                <w:b/>
                <w:bCs/>
                <w:color w:val="000000"/>
                <w:sz w:val="19"/>
                <w:szCs w:val="19"/>
              </w:rPr>
              <w:t>Cause 3</w:t>
            </w:r>
          </w:p>
        </w:tc>
        <w:tc>
          <w:tcPr>
            <w:tcW w:w="70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57202" w14:textId="77777777" w:rsidR="001B1D7B" w:rsidRDefault="2CA2FA2B">
            <w:pPr>
              <w:spacing w:after="0"/>
            </w:pPr>
            <w:r w:rsidRPr="2CA2FA2B">
              <w:rPr>
                <w:b/>
                <w:bCs/>
                <w:color w:val="C62828"/>
                <w:sz w:val="19"/>
                <w:szCs w:val="19"/>
                <w:highlight w:val="yellow"/>
                <w:lang w:val="en-US"/>
              </w:rPr>
              <w:t xml:space="preserve">  [ CLIENT TO COMPLETE ]</w:t>
            </w:r>
          </w:p>
        </w:tc>
      </w:tr>
    </w:tbl>
    <w:p w14:paraId="6E5FDB57" w14:textId="77777777" w:rsidR="003A46FF" w:rsidRDefault="003A46FF">
      <w:pPr>
        <w:pStyle w:val="heading10"/>
        <w:rPr>
          <w:color w:val="007260"/>
        </w:rPr>
      </w:pPr>
      <w:r w:rsidRPr="00BB7689">
        <w:rPr>
          <w:color w:val="007260"/>
        </w:rPr>
        <w:t>4. Actions taken &amp; results</w:t>
      </w:r>
    </w:p>
    <w:p w14:paraId="0F8B1910" w14:textId="77777777" w:rsidR="001B1D7B" w:rsidRDefault="2CA2FA2B">
      <w:pPr>
        <w:spacing w:after="80"/>
      </w:pPr>
      <w:r w:rsidRPr="2CA2FA2B">
        <w:rPr>
          <w:b/>
          <w:bCs/>
          <w:lang w:val="en-US"/>
        </w:rPr>
        <w:t xml:space="preserve">What we changed this month and what it achieved:  </w:t>
      </w:r>
      <w:r w:rsidRPr="2CA2FA2B">
        <w:rPr>
          <w:b/>
          <w:bCs/>
          <w:color w:val="C62828"/>
          <w:highlight w:val="yellow"/>
          <w:lang w:val="en-US"/>
        </w:rPr>
        <w:t xml:space="preserve">  [ CLIENT TO COMPLETE ]  </w:t>
      </w:r>
    </w:p>
    <w:p w14:paraId="0C99E1C7" w14:textId="77777777" w:rsidR="003A46FF" w:rsidRDefault="003A46FF">
      <w:pPr>
        <w:pStyle w:val="heading10"/>
        <w:rPr>
          <w:color w:val="007260"/>
        </w:rPr>
      </w:pPr>
      <w:r w:rsidRPr="00BE28FA">
        <w:rPr>
          <w:color w:val="007260"/>
        </w:rPr>
        <w:t>5. Actions planned next month</w:t>
      </w:r>
    </w:p>
    <w:p w14:paraId="14F3E817" w14:textId="77777777" w:rsidR="001B1D7B" w:rsidRDefault="2CA2FA2B">
      <w:pPr>
        <w:spacing w:after="80"/>
      </w:pPr>
      <w:r w:rsidRPr="2CA2FA2B">
        <w:rPr>
          <w:b/>
          <w:bCs/>
          <w:lang w:val="en-US"/>
        </w:rPr>
        <w:t xml:space="preserve">What we’ll do next and expected impact:  </w:t>
      </w:r>
      <w:r w:rsidRPr="2CA2FA2B">
        <w:rPr>
          <w:b/>
          <w:bCs/>
          <w:color w:val="C62828"/>
          <w:highlight w:val="yellow"/>
          <w:lang w:val="en-US"/>
        </w:rPr>
        <w:t xml:space="preserve">  [ CLIENT TO COMPLETE ]  </w:t>
      </w:r>
    </w:p>
    <w:p w14:paraId="6A05A809" w14:textId="77777777" w:rsidR="001B1D7B" w:rsidRDefault="001B1D7B">
      <w:pPr>
        <w:spacing w:after="2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B1D7B" w14:paraId="0F6B8FA3" w14:textId="77777777" w:rsidTr="000E50A4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E23087F" w14:textId="77777777" w:rsidR="000E50A4" w:rsidRDefault="000E50A4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A strong headline vs a weak one</w:t>
            </w:r>
          </w:p>
          <w:p w14:paraId="5109EB65" w14:textId="77777777" w:rsidR="000E50A4" w:rsidRDefault="000E50A4">
            <w:pPr>
              <w:spacing w:after="40"/>
            </w:pPr>
            <w:r>
              <w:rPr>
                <w:b/>
                <w:bCs/>
                <w:color w:val="000000"/>
                <w:lang w:val="en-US"/>
              </w:rPr>
              <w:t xml:space="preserve">Weak:  </w:t>
            </w:r>
            <w:r>
              <w:rPr>
                <w:color w:val="000000"/>
                <w:lang w:val="en-US"/>
              </w:rPr>
              <w:t>“Waste was recorded across categories this month.” (Says nothing.)</w:t>
            </w:r>
          </w:p>
          <w:p w14:paraId="48F5C9AB" w14:textId="049853E4" w:rsidR="001B1D7B" w:rsidRDefault="000E50A4" w:rsidP="000E50A4">
            <w:pPr>
              <w:spacing w:after="0"/>
            </w:pPr>
            <w:r>
              <w:rPr>
                <w:b/>
                <w:bCs/>
                <w:color w:val="000000"/>
                <w:lang w:val="en-US"/>
              </w:rPr>
              <w:t xml:space="preserve">Strong:  </w:t>
            </w:r>
            <w:r>
              <w:rPr>
                <w:color w:val="000000"/>
                <w:lang w:val="en-US"/>
              </w:rPr>
              <w:t>“Waste fell 14% to 1,240 kg ($6,100), driven by cutting prep over-trimming. Spoilage remains our biggest category and is next month’s focus.”</w:t>
            </w:r>
          </w:p>
        </w:tc>
      </w:tr>
    </w:tbl>
    <w:p w14:paraId="5A39BBE3" w14:textId="77777777" w:rsidR="001B1D7B" w:rsidRDefault="001B1D7B">
      <w:pPr>
        <w:spacing w:after="40"/>
      </w:pPr>
    </w:p>
    <w:tbl>
      <w:tblPr>
        <w:tblW w:w="10080" w:type="dxa"/>
        <w:tblBorders>
          <w:left w:val="single" w:sz="24" w:space="0" w:color="555555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1B1D7B" w14:paraId="32CFC64B" w14:textId="77777777" w:rsidTr="00254BE8">
        <w:tc>
          <w:tcPr>
            <w:tcW w:w="10080" w:type="dxa"/>
            <w:tcBorders>
              <w:top w:val="nil"/>
              <w:left w:val="single" w:sz="24" w:space="0" w:color="007260"/>
              <w:bottom w:val="nil"/>
              <w:right w:val="nil"/>
            </w:tcBorders>
            <w:shd w:val="clear" w:color="auto" w:fill="E6F1E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C58BD6" w14:textId="77777777" w:rsidR="00254BE8" w:rsidRDefault="00254BE8">
            <w:pPr>
              <w:spacing w:after="60"/>
              <w:rPr>
                <w:kern w:val="2"/>
                <w14:ligatures w14:val="standardContextual"/>
              </w:rPr>
            </w:pPr>
            <w:r>
              <w:rPr>
                <w:b/>
                <w:bCs/>
                <w:color w:val="007260"/>
                <w:sz w:val="22"/>
                <w:szCs w:val="22"/>
              </w:rPr>
              <w:t>Using this document</w:t>
            </w:r>
          </w:p>
          <w:p w14:paraId="1604B19B" w14:textId="61924BB6" w:rsidR="001B1D7B" w:rsidRDefault="00254BE8" w:rsidP="00254BE8">
            <w:pPr>
              <w:spacing w:after="0"/>
            </w:pPr>
            <w:r>
              <w:rPr>
                <w:color w:val="000000"/>
                <w:lang w:val="en-US"/>
              </w:rPr>
              <w:t xml:space="preserve">Yellow highlighted </w:t>
            </w:r>
            <w:r>
              <w:rPr>
                <w:b/>
                <w:bCs/>
                <w:color w:val="C62828"/>
                <w:shd w:val="clear" w:color="auto" w:fill="FFFF00"/>
                <w:lang w:val="en-US"/>
              </w:rPr>
              <w:t>[ CLIENT TO COMPLETE ]</w:t>
            </w:r>
            <w:r>
              <w:rPr>
                <w:color w:val="000000"/>
                <w:lang w:val="en-US"/>
              </w:rPr>
              <w:t xml:space="preserve"> fields are for you to fill in with your own information. Everything else is ready to use as-is.</w:t>
            </w:r>
          </w:p>
        </w:tc>
      </w:tr>
    </w:tbl>
    <w:p w14:paraId="00B19B9D" w14:textId="77777777" w:rsidR="003A46FF" w:rsidRDefault="003A46FF"/>
    <w:sectPr w:rsidR="003A46FF">
      <w:headerReference w:type="default" r:id="rId10"/>
      <w:footerReference w:type="default" r:id="rId11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5DCC" w14:textId="77777777" w:rsidR="006D1483" w:rsidRDefault="006D1483">
      <w:pPr>
        <w:spacing w:after="0" w:line="240" w:lineRule="auto"/>
      </w:pPr>
      <w:r>
        <w:separator/>
      </w:r>
    </w:p>
  </w:endnote>
  <w:endnote w:type="continuationSeparator" w:id="0">
    <w:p w14:paraId="2199F242" w14:textId="77777777" w:rsidR="006D1483" w:rsidRDefault="006D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1957" w14:textId="24FEAED7" w:rsidR="001B1D7B" w:rsidRDefault="2CA2FA2B" w:rsidP="2CA2FA2B">
    <w:pPr>
      <w:pBdr>
        <w:top w:val="single" w:sz="6" w:space="4" w:color="CCCCCC"/>
      </w:pBdr>
      <w:tabs>
        <w:tab w:val="right" w:pos="10080"/>
      </w:tabs>
      <w:rPr>
        <w:lang w:val="en-US"/>
      </w:rPr>
    </w:pPr>
    <w:r w:rsidRPr="2CA2FA2B">
      <w:rPr>
        <w:color w:val="555555"/>
        <w:sz w:val="15"/>
        <w:szCs w:val="15"/>
        <w:lang w:val="en-US"/>
      </w:rPr>
      <w:t>End Food Waste Australia</w:t>
    </w:r>
    <w:r w:rsidR="006D3AB0">
      <w:rPr>
        <w:color w:val="555555"/>
        <w:sz w:val="15"/>
        <w:szCs w:val="15"/>
        <w:lang w:val="en-US"/>
      </w:rPr>
      <w:t>:</w:t>
    </w:r>
    <w:r w:rsidRPr="2CA2FA2B">
      <w:rPr>
        <w:color w:val="555555"/>
        <w:sz w:val="15"/>
        <w:szCs w:val="15"/>
        <w:lang w:val="en-US"/>
      </w:rPr>
      <w:t xml:space="preserve"> Commercial-in-confidence</w:t>
    </w:r>
    <w:r w:rsidR="00884332">
      <w:rPr>
        <w:color w:val="555555"/>
        <w:sz w:val="15"/>
        <w:szCs w:val="15"/>
        <w:lang w:val="en-US"/>
      </w:rPr>
      <w:t xml:space="preserve"> </w:t>
    </w:r>
    <w:r w:rsidRPr="2CA2FA2B">
      <w:rPr>
        <w:color w:val="555555"/>
        <w:sz w:val="15"/>
        <w:szCs w:val="15"/>
        <w:lang w:val="en-US"/>
      </w:rPr>
      <w:t xml:space="preserve">Page </w:t>
    </w:r>
    <w:r w:rsidR="003A46FF" w:rsidRPr="2CA2FA2B">
      <w:rPr>
        <w:color w:val="555555"/>
        <w:sz w:val="15"/>
        <w:szCs w:val="15"/>
        <w:lang w:val="en-US"/>
      </w:rPr>
      <w:fldChar w:fldCharType="begin"/>
    </w:r>
    <w:r w:rsidR="003A46FF" w:rsidRPr="2CA2FA2B">
      <w:rPr>
        <w:color w:val="555555"/>
        <w:sz w:val="15"/>
        <w:szCs w:val="15"/>
      </w:rPr>
      <w:instrText>PAGE</w:instrText>
    </w:r>
    <w:r w:rsidR="003A46FF" w:rsidRPr="2CA2FA2B">
      <w:rPr>
        <w:color w:val="555555"/>
        <w:sz w:val="15"/>
        <w:szCs w:val="15"/>
      </w:rPr>
      <w:fldChar w:fldCharType="separate"/>
    </w:r>
    <w:r w:rsidR="00697251">
      <w:rPr>
        <w:noProof/>
        <w:color w:val="555555"/>
        <w:sz w:val="15"/>
        <w:szCs w:val="15"/>
      </w:rPr>
      <w:t>1</w:t>
    </w:r>
    <w:r w:rsidR="003A46FF" w:rsidRPr="2CA2FA2B">
      <w:rPr>
        <w:color w:val="555555"/>
        <w:sz w:val="15"/>
        <w:szCs w:val="15"/>
        <w:lang w:val="en-US"/>
      </w:rPr>
      <w:fldChar w:fldCharType="end"/>
    </w:r>
    <w:r w:rsidRPr="2CA2FA2B">
      <w:rPr>
        <w:color w:val="555555"/>
        <w:sz w:val="15"/>
        <w:szCs w:val="15"/>
        <w:lang w:val="en-US"/>
      </w:rPr>
      <w:t xml:space="preserve"> of </w:t>
    </w:r>
    <w:r w:rsidR="003A46FF" w:rsidRPr="2CA2FA2B">
      <w:rPr>
        <w:color w:val="555555"/>
        <w:sz w:val="15"/>
        <w:szCs w:val="15"/>
        <w:lang w:val="en-US"/>
      </w:rPr>
      <w:fldChar w:fldCharType="begin"/>
    </w:r>
    <w:r w:rsidR="003A46FF" w:rsidRPr="2CA2FA2B">
      <w:rPr>
        <w:color w:val="555555"/>
        <w:sz w:val="15"/>
        <w:szCs w:val="15"/>
      </w:rPr>
      <w:instrText>NUMPAGES</w:instrText>
    </w:r>
    <w:r w:rsidR="003A46FF" w:rsidRPr="2CA2FA2B">
      <w:rPr>
        <w:color w:val="555555"/>
        <w:sz w:val="15"/>
        <w:szCs w:val="15"/>
      </w:rPr>
      <w:fldChar w:fldCharType="separate"/>
    </w:r>
    <w:r w:rsidR="00697251">
      <w:rPr>
        <w:noProof/>
        <w:color w:val="555555"/>
        <w:sz w:val="15"/>
        <w:szCs w:val="15"/>
      </w:rPr>
      <w:t>2</w:t>
    </w:r>
    <w:r w:rsidR="003A46FF" w:rsidRPr="2CA2FA2B">
      <w:rPr>
        <w:color w:val="555555"/>
        <w:sz w:val="15"/>
        <w:szCs w:val="15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E7A70" w14:textId="77777777" w:rsidR="006D1483" w:rsidRDefault="006D1483">
      <w:pPr>
        <w:spacing w:after="0" w:line="240" w:lineRule="auto"/>
      </w:pPr>
      <w:r>
        <w:separator/>
      </w:r>
    </w:p>
  </w:footnote>
  <w:footnote w:type="continuationSeparator" w:id="0">
    <w:p w14:paraId="6BE50178" w14:textId="77777777" w:rsidR="006D1483" w:rsidRDefault="006D1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FEC" w14:textId="77777777" w:rsidR="002661E8" w:rsidRDefault="002661E8" w:rsidP="2CA2FA2B">
    <w:pPr>
      <w:pBdr>
        <w:bottom w:val="single" w:sz="6" w:space="4" w:color="2E7D32"/>
      </w:pBdr>
      <w:tabs>
        <w:tab w:val="right" w:pos="10080"/>
      </w:tabs>
      <w:rPr>
        <w:b/>
        <w:bCs/>
        <w:color w:val="007260"/>
        <w:sz w:val="16"/>
        <w:szCs w:val="16"/>
      </w:rPr>
    </w:pPr>
    <w:r>
      <w:rPr>
        <w:b/>
        <w:bCs/>
        <w:noProof/>
        <w:color w:val="007260"/>
        <w:sz w:val="16"/>
        <w:szCs w:val="16"/>
      </w:rPr>
      <w:drawing>
        <wp:inline distT="0" distB="0" distL="0" distR="0" wp14:anchorId="4F78E844" wp14:editId="64900EB1">
          <wp:extent cx="2019105" cy="552450"/>
          <wp:effectExtent l="0" t="0" r="0" b="0"/>
          <wp:docPr id="17714531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453147" name="Picture 17714531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390" cy="55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2FDC4" w14:textId="6151E39E" w:rsidR="001B1D7B" w:rsidRDefault="2CA2FA2B" w:rsidP="2CA2FA2B">
    <w:pPr>
      <w:pBdr>
        <w:bottom w:val="single" w:sz="6" w:space="4" w:color="2E7D32"/>
      </w:pBdr>
      <w:tabs>
        <w:tab w:val="right" w:pos="10080"/>
      </w:tabs>
    </w:pPr>
    <w:r w:rsidRPr="00606287">
      <w:rPr>
        <w:b/>
        <w:bCs/>
        <w:color w:val="007260"/>
        <w:sz w:val="16"/>
        <w:szCs w:val="16"/>
      </w:rPr>
      <w:t>EFWA Excellence Hub</w:t>
    </w:r>
    <w:r w:rsidR="00254BE8">
      <w:rPr>
        <w:b/>
        <w:bCs/>
        <w:color w:val="2E7D32"/>
        <w:sz w:val="16"/>
        <w:szCs w:val="16"/>
      </w:rPr>
      <w:t xml:space="preserve"> </w:t>
    </w:r>
    <w:r w:rsidRPr="2CA2FA2B">
      <w:rPr>
        <w:color w:val="555555"/>
        <w:sz w:val="16"/>
        <w:szCs w:val="16"/>
      </w:rPr>
      <w:t>L2 · Report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339"/>
    <w:multiLevelType w:val="hybridMultilevel"/>
    <w:tmpl w:val="CF6E29C4"/>
    <w:lvl w:ilvl="0" w:tplc="C8F85056">
      <w:start w:val="1"/>
      <w:numFmt w:val="bullet"/>
      <w:lvlText w:val="☐"/>
      <w:lvlJc w:val="left"/>
      <w:pPr>
        <w:ind w:left="520" w:hanging="300"/>
      </w:pPr>
    </w:lvl>
    <w:lvl w:ilvl="1" w:tplc="7B4809B2">
      <w:numFmt w:val="decimal"/>
      <w:lvlText w:val=""/>
      <w:lvlJc w:val="left"/>
    </w:lvl>
    <w:lvl w:ilvl="2" w:tplc="38384870">
      <w:numFmt w:val="decimal"/>
      <w:lvlText w:val=""/>
      <w:lvlJc w:val="left"/>
    </w:lvl>
    <w:lvl w:ilvl="3" w:tplc="4232E52E">
      <w:numFmt w:val="decimal"/>
      <w:lvlText w:val=""/>
      <w:lvlJc w:val="left"/>
    </w:lvl>
    <w:lvl w:ilvl="4" w:tplc="9586D9C0">
      <w:numFmt w:val="decimal"/>
      <w:lvlText w:val=""/>
      <w:lvlJc w:val="left"/>
    </w:lvl>
    <w:lvl w:ilvl="5" w:tplc="43D49868">
      <w:numFmt w:val="decimal"/>
      <w:lvlText w:val=""/>
      <w:lvlJc w:val="left"/>
    </w:lvl>
    <w:lvl w:ilvl="6" w:tplc="5EB851E0">
      <w:numFmt w:val="decimal"/>
      <w:lvlText w:val=""/>
      <w:lvlJc w:val="left"/>
    </w:lvl>
    <w:lvl w:ilvl="7" w:tplc="50763E34">
      <w:numFmt w:val="decimal"/>
      <w:lvlText w:val=""/>
      <w:lvlJc w:val="left"/>
    </w:lvl>
    <w:lvl w:ilvl="8" w:tplc="9FEE1C24">
      <w:numFmt w:val="decimal"/>
      <w:lvlText w:val=""/>
      <w:lvlJc w:val="left"/>
    </w:lvl>
  </w:abstractNum>
  <w:abstractNum w:abstractNumId="1" w15:restartNumberingAfterBreak="0">
    <w:nsid w:val="27786610"/>
    <w:multiLevelType w:val="hybridMultilevel"/>
    <w:tmpl w:val="92C28E18"/>
    <w:lvl w:ilvl="0" w:tplc="9D8689DC">
      <w:start w:val="1"/>
      <w:numFmt w:val="decimal"/>
      <w:lvlText w:val="%1."/>
      <w:lvlJc w:val="left"/>
      <w:pPr>
        <w:ind w:left="520" w:hanging="300"/>
      </w:pPr>
    </w:lvl>
    <w:lvl w:ilvl="1" w:tplc="2C5AE712">
      <w:numFmt w:val="decimal"/>
      <w:lvlText w:val=""/>
      <w:lvlJc w:val="left"/>
    </w:lvl>
    <w:lvl w:ilvl="2" w:tplc="3C9C8204">
      <w:numFmt w:val="decimal"/>
      <w:lvlText w:val=""/>
      <w:lvlJc w:val="left"/>
    </w:lvl>
    <w:lvl w:ilvl="3" w:tplc="34B67DE2">
      <w:numFmt w:val="decimal"/>
      <w:lvlText w:val=""/>
      <w:lvlJc w:val="left"/>
    </w:lvl>
    <w:lvl w:ilvl="4" w:tplc="D722EE98">
      <w:numFmt w:val="decimal"/>
      <w:lvlText w:val=""/>
      <w:lvlJc w:val="left"/>
    </w:lvl>
    <w:lvl w:ilvl="5" w:tplc="C4B00CD2">
      <w:numFmt w:val="decimal"/>
      <w:lvlText w:val=""/>
      <w:lvlJc w:val="left"/>
    </w:lvl>
    <w:lvl w:ilvl="6" w:tplc="4D1A523C">
      <w:numFmt w:val="decimal"/>
      <w:lvlText w:val=""/>
      <w:lvlJc w:val="left"/>
    </w:lvl>
    <w:lvl w:ilvl="7" w:tplc="5074D22E">
      <w:numFmt w:val="decimal"/>
      <w:lvlText w:val=""/>
      <w:lvlJc w:val="left"/>
    </w:lvl>
    <w:lvl w:ilvl="8" w:tplc="ADD6604E">
      <w:numFmt w:val="decimal"/>
      <w:lvlText w:val=""/>
      <w:lvlJc w:val="left"/>
    </w:lvl>
  </w:abstractNum>
  <w:abstractNum w:abstractNumId="2" w15:restartNumberingAfterBreak="0">
    <w:nsid w:val="57BB7BEC"/>
    <w:multiLevelType w:val="hybridMultilevel"/>
    <w:tmpl w:val="B85AD0F0"/>
    <w:lvl w:ilvl="0" w:tplc="25AEF608">
      <w:start w:val="1"/>
      <w:numFmt w:val="bullet"/>
      <w:lvlText w:val="•"/>
      <w:lvlJc w:val="left"/>
      <w:pPr>
        <w:ind w:left="520" w:hanging="260"/>
      </w:pPr>
    </w:lvl>
    <w:lvl w:ilvl="1" w:tplc="45343990">
      <w:numFmt w:val="decimal"/>
      <w:lvlText w:val=""/>
      <w:lvlJc w:val="left"/>
    </w:lvl>
    <w:lvl w:ilvl="2" w:tplc="AD147B3E">
      <w:numFmt w:val="decimal"/>
      <w:lvlText w:val=""/>
      <w:lvlJc w:val="left"/>
    </w:lvl>
    <w:lvl w:ilvl="3" w:tplc="96E0BDDE">
      <w:numFmt w:val="decimal"/>
      <w:lvlText w:val=""/>
      <w:lvlJc w:val="left"/>
    </w:lvl>
    <w:lvl w:ilvl="4" w:tplc="98C65E80">
      <w:numFmt w:val="decimal"/>
      <w:lvlText w:val=""/>
      <w:lvlJc w:val="left"/>
    </w:lvl>
    <w:lvl w:ilvl="5" w:tplc="B20294A6">
      <w:numFmt w:val="decimal"/>
      <w:lvlText w:val=""/>
      <w:lvlJc w:val="left"/>
    </w:lvl>
    <w:lvl w:ilvl="6" w:tplc="38EAD77E">
      <w:numFmt w:val="decimal"/>
      <w:lvlText w:val=""/>
      <w:lvlJc w:val="left"/>
    </w:lvl>
    <w:lvl w:ilvl="7" w:tplc="ADEE0CE8">
      <w:numFmt w:val="decimal"/>
      <w:lvlText w:val=""/>
      <w:lvlJc w:val="left"/>
    </w:lvl>
    <w:lvl w:ilvl="8" w:tplc="A014CB44">
      <w:numFmt w:val="decimal"/>
      <w:lvlText w:val=""/>
      <w:lvlJc w:val="left"/>
    </w:lvl>
  </w:abstractNum>
  <w:abstractNum w:abstractNumId="3" w15:restartNumberingAfterBreak="0">
    <w:nsid w:val="655CFFC2"/>
    <w:multiLevelType w:val="hybridMultilevel"/>
    <w:tmpl w:val="9DA8B8CE"/>
    <w:lvl w:ilvl="0" w:tplc="6E02D24C">
      <w:start w:val="1"/>
      <w:numFmt w:val="bullet"/>
      <w:lvlText w:val="●"/>
      <w:lvlJc w:val="left"/>
      <w:pPr>
        <w:ind w:left="720" w:hanging="360"/>
      </w:pPr>
    </w:lvl>
    <w:lvl w:ilvl="1" w:tplc="2B2CBC3E">
      <w:start w:val="1"/>
      <w:numFmt w:val="bullet"/>
      <w:lvlText w:val="○"/>
      <w:lvlJc w:val="left"/>
      <w:pPr>
        <w:ind w:left="1440" w:hanging="360"/>
      </w:pPr>
    </w:lvl>
    <w:lvl w:ilvl="2" w:tplc="384287B6">
      <w:start w:val="1"/>
      <w:numFmt w:val="bullet"/>
      <w:lvlText w:val="■"/>
      <w:lvlJc w:val="left"/>
      <w:pPr>
        <w:ind w:left="2160" w:hanging="360"/>
      </w:pPr>
    </w:lvl>
    <w:lvl w:ilvl="3" w:tplc="DABCE718">
      <w:start w:val="1"/>
      <w:numFmt w:val="bullet"/>
      <w:lvlText w:val="●"/>
      <w:lvlJc w:val="left"/>
      <w:pPr>
        <w:ind w:left="2880" w:hanging="360"/>
      </w:pPr>
    </w:lvl>
    <w:lvl w:ilvl="4" w:tplc="35880248">
      <w:start w:val="1"/>
      <w:numFmt w:val="bullet"/>
      <w:lvlText w:val="○"/>
      <w:lvlJc w:val="left"/>
      <w:pPr>
        <w:ind w:left="3600" w:hanging="360"/>
      </w:pPr>
    </w:lvl>
    <w:lvl w:ilvl="5" w:tplc="BD22761E">
      <w:start w:val="1"/>
      <w:numFmt w:val="bullet"/>
      <w:lvlText w:val="■"/>
      <w:lvlJc w:val="left"/>
      <w:pPr>
        <w:ind w:left="4320" w:hanging="360"/>
      </w:pPr>
    </w:lvl>
    <w:lvl w:ilvl="6" w:tplc="F0C0B112">
      <w:start w:val="1"/>
      <w:numFmt w:val="bullet"/>
      <w:lvlText w:val="●"/>
      <w:lvlJc w:val="left"/>
      <w:pPr>
        <w:ind w:left="5040" w:hanging="360"/>
      </w:pPr>
    </w:lvl>
    <w:lvl w:ilvl="7" w:tplc="7C624FA0">
      <w:start w:val="1"/>
      <w:numFmt w:val="bullet"/>
      <w:lvlText w:val="●"/>
      <w:lvlJc w:val="left"/>
      <w:pPr>
        <w:ind w:left="5760" w:hanging="360"/>
      </w:pPr>
    </w:lvl>
    <w:lvl w:ilvl="8" w:tplc="1236EC0E">
      <w:start w:val="1"/>
      <w:numFmt w:val="bullet"/>
      <w:lvlText w:val="●"/>
      <w:lvlJc w:val="left"/>
      <w:pPr>
        <w:ind w:left="6480" w:hanging="360"/>
      </w:pPr>
    </w:lvl>
  </w:abstractNum>
  <w:num w:numId="1" w16cid:durableId="4510230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341D95"/>
    <w:rsid w:val="000C3326"/>
    <w:rsid w:val="000E50A4"/>
    <w:rsid w:val="001B1D7B"/>
    <w:rsid w:val="00254BE8"/>
    <w:rsid w:val="002661E8"/>
    <w:rsid w:val="00275682"/>
    <w:rsid w:val="003A46FF"/>
    <w:rsid w:val="00574D6F"/>
    <w:rsid w:val="005C765E"/>
    <w:rsid w:val="00606287"/>
    <w:rsid w:val="00630DBB"/>
    <w:rsid w:val="00697251"/>
    <w:rsid w:val="006D1483"/>
    <w:rsid w:val="006D3AB0"/>
    <w:rsid w:val="00884332"/>
    <w:rsid w:val="009A2BC8"/>
    <w:rsid w:val="00BB7689"/>
    <w:rsid w:val="00BE28FA"/>
    <w:rsid w:val="00D37CFF"/>
    <w:rsid w:val="00DA7C70"/>
    <w:rsid w:val="00E009B9"/>
    <w:rsid w:val="00F35E14"/>
    <w:rsid w:val="1A341D95"/>
    <w:rsid w:val="2CA2F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7845F"/>
  <w15:docId w15:val="{A65CDE8C-E1F7-442E-82CD-3F9CFFFC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customStyle="1" w:styleId="Title0">
    <w:name w:val="Title0"/>
    <w:basedOn w:val="Normal"/>
    <w:next w:val="Normal"/>
    <w:pPr>
      <w:spacing w:after="80"/>
    </w:pPr>
    <w:rPr>
      <w:b/>
      <w:bCs/>
      <w:color w:val="1B5E20"/>
      <w:sz w:val="48"/>
      <w:szCs w:val="48"/>
    </w:rPr>
  </w:style>
  <w:style w:type="paragraph" w:customStyle="1" w:styleId="heading10">
    <w:name w:val="heading 10"/>
    <w:basedOn w:val="Normal"/>
    <w:next w:val="Normal"/>
    <w:qFormat/>
    <w:pPr>
      <w:spacing w:before="240"/>
      <w:outlineLvl w:val="0"/>
    </w:pPr>
    <w:rPr>
      <w:b/>
      <w:bCs/>
      <w:color w:val="1B5E20"/>
      <w:sz w:val="30"/>
      <w:szCs w:val="30"/>
    </w:rPr>
  </w:style>
  <w:style w:type="paragraph" w:customStyle="1" w:styleId="heading20">
    <w:name w:val="heading 20"/>
    <w:basedOn w:val="Normal"/>
    <w:next w:val="Normal"/>
    <w:qFormat/>
    <w:pPr>
      <w:spacing w:before="200" w:after="100"/>
      <w:outlineLvl w:val="1"/>
    </w:pPr>
    <w:rPr>
      <w:b/>
      <w:bCs/>
      <w:color w:val="2E7D32"/>
      <w:sz w:val="24"/>
      <w:szCs w:val="24"/>
    </w:rPr>
  </w:style>
  <w:style w:type="paragraph" w:customStyle="1" w:styleId="heading30">
    <w:name w:val="heading 30"/>
    <w:basedOn w:val="Normal"/>
    <w:next w:val="Normal"/>
    <w:qFormat/>
    <w:pPr>
      <w:spacing w:before="140" w:after="60"/>
      <w:outlineLvl w:val="2"/>
    </w:pPr>
    <w:rPr>
      <w:b/>
      <w:bCs/>
      <w:color w:val="333333"/>
    </w:rPr>
  </w:style>
  <w:style w:type="paragraph" w:styleId="Header">
    <w:name w:val="header"/>
    <w:basedOn w:val="Normal"/>
    <w:link w:val="HeaderChar"/>
    <w:uiPriority w:val="99"/>
    <w:unhideWhenUsed/>
    <w:rsid w:val="002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BE8"/>
  </w:style>
  <w:style w:type="paragraph" w:styleId="Footer">
    <w:name w:val="footer"/>
    <w:basedOn w:val="Normal"/>
    <w:link w:val="FooterChar"/>
    <w:uiPriority w:val="99"/>
    <w:unhideWhenUsed/>
    <w:rsid w:val="002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41b8ca-a4f4-4f1d-a350-a87b4d2b4a74">
      <Terms xmlns="http://schemas.microsoft.com/office/infopath/2007/PartnerControls"/>
    </lcf76f155ced4ddcb4097134ff3c332f>
    <TaxCatchAll xmlns="757fca47-ae8b-4686-b2b5-a10067c435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432F45DD22141ADF8AA9A6C9A83AC" ma:contentTypeVersion="16" ma:contentTypeDescription="Create a new document." ma:contentTypeScope="" ma:versionID="83d41547f89c592d4790cbe544394c02">
  <xsd:schema xmlns:xsd="http://www.w3.org/2001/XMLSchema" xmlns:xs="http://www.w3.org/2001/XMLSchema" xmlns:p="http://schemas.microsoft.com/office/2006/metadata/properties" xmlns:ns2="0b41b8ca-a4f4-4f1d-a350-a87b4d2b4a74" xmlns:ns3="757fca47-ae8b-4686-b2b5-a10067c43534" targetNamespace="http://schemas.microsoft.com/office/2006/metadata/properties" ma:root="true" ma:fieldsID="94ff3e8694f8c0f4490d906d607e4987" ns2:_="" ns3:_="">
    <xsd:import namespace="0b41b8ca-a4f4-4f1d-a350-a87b4d2b4a74"/>
    <xsd:import namespace="757fca47-ae8b-4686-b2b5-a10067c43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b8ca-a4f4-4f1d-a350-a87b4d2b4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e47dcd-2ffb-410b-9bd9-2c49346c8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fca47-ae8b-4686-b2b5-a10067c435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1d4bafa-d29c-4f33-bded-f745678c8826}" ma:internalName="TaxCatchAll" ma:showField="CatchAllData" ma:web="757fca47-ae8b-4686-b2b5-a10067c43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A3761-10CC-4304-AD5C-9334C095529D}">
  <ds:schemaRefs>
    <ds:schemaRef ds:uri="http://schemas.microsoft.com/office/2006/metadata/properties"/>
    <ds:schemaRef ds:uri="http://schemas.microsoft.com/office/infopath/2007/PartnerControls"/>
    <ds:schemaRef ds:uri="0b41b8ca-a4f4-4f1d-a350-a87b4d2b4a74"/>
    <ds:schemaRef ds:uri="757fca47-ae8b-4686-b2b5-a10067c43534"/>
  </ds:schemaRefs>
</ds:datastoreItem>
</file>

<file path=customXml/itemProps2.xml><?xml version="1.0" encoding="utf-8"?>
<ds:datastoreItem xmlns:ds="http://schemas.openxmlformats.org/officeDocument/2006/customXml" ds:itemID="{543D01A7-4A9A-4861-8859-C081D343E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1b8ca-a4f4-4f1d-a350-a87b4d2b4a74"/>
    <ds:schemaRef ds:uri="757fca47-ae8b-4686-b2b5-a10067c43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98AF4-4D47-44CA-969A-7BC8A14166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Jocelyn Somerford</cp:lastModifiedBy>
  <cp:revision>12</cp:revision>
  <dcterms:created xsi:type="dcterms:W3CDTF">2026-07-03T05:20:00Z</dcterms:created>
  <dcterms:modified xsi:type="dcterms:W3CDTF">2026-07-10T04:19:00Z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0x010100C2F432F45DD22141ADF8AA9A6C9A83AC</vt:lpwstr>
  </property>
</Properties>
</file>