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B52D" w14:textId="77777777" w:rsidR="00024CEA" w:rsidRDefault="00024CEA">
      <w:pPr>
        <w:spacing w:after="200"/>
      </w:pPr>
      <w:r w:rsidRPr="004E0AA3">
        <w:rPr>
          <w:b/>
          <w:color w:val="007260"/>
          <w:sz w:val="18"/>
          <w:szCs w:val="18"/>
        </w:rPr>
        <w:t>EFWA EXCELLENCE HUB</w:t>
      </w:r>
      <w:r w:rsidRPr="1B040F0B">
        <w:rPr>
          <w:b/>
          <w:bCs/>
          <w:color w:val="F57F17"/>
          <w:sz w:val="18"/>
          <w:szCs w:val="18"/>
        </w:rPr>
        <w:t xml:space="preserve">     </w:t>
      </w:r>
      <w:r w:rsidRPr="00632623">
        <w:rPr>
          <w:b/>
          <w:bCs/>
          <w:color w:val="595959" w:themeColor="text1" w:themeTint="A6"/>
          <w:sz w:val="18"/>
          <w:szCs w:val="18"/>
        </w:rPr>
        <w:t>Level 2 · Culture</w:t>
      </w:r>
    </w:p>
    <w:p w14:paraId="34521A15" w14:textId="77777777" w:rsidR="00024CEA" w:rsidRDefault="00024CEA">
      <w:pPr>
        <w:pStyle w:val="Title0"/>
        <w:rPr>
          <w:color w:val="007260"/>
        </w:rPr>
      </w:pPr>
      <w:r w:rsidRPr="00162077">
        <w:rPr>
          <w:color w:val="007260"/>
        </w:rPr>
        <w:t>Gemba Waste Walk Checklist</w:t>
      </w:r>
    </w:p>
    <w:p w14:paraId="5B2B16B9" w14:textId="77E42B57" w:rsidR="009E1535" w:rsidRDefault="1B040F0B">
      <w:pPr>
        <w:spacing w:after="60"/>
      </w:pPr>
      <w:r w:rsidRPr="1B040F0B">
        <w:rPr>
          <w:color w:val="555555"/>
          <w:sz w:val="22"/>
          <w:szCs w:val="22"/>
          <w:lang w:val="en-US"/>
        </w:rPr>
        <w:t>Go to where the work happens</w:t>
      </w:r>
      <w:r w:rsidR="00624471">
        <w:rPr>
          <w:color w:val="555555"/>
          <w:sz w:val="22"/>
          <w:szCs w:val="22"/>
          <w:lang w:val="en-US"/>
        </w:rPr>
        <w:t>:</w:t>
      </w:r>
      <w:r w:rsidRPr="1B040F0B">
        <w:rPr>
          <w:color w:val="555555"/>
          <w:sz w:val="22"/>
          <w:szCs w:val="22"/>
          <w:lang w:val="en-US"/>
        </w:rPr>
        <w:t xml:space="preserve"> observe, ask, and act on waste at its source</w:t>
      </w:r>
    </w:p>
    <w:p w14:paraId="2AE31D98" w14:textId="77777777" w:rsidR="004E0AA3" w:rsidRDefault="004E0AA3">
      <w:pP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9E1535" w14:paraId="755890B8" w14:textId="77777777" w:rsidTr="005369D2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64559B" w14:textId="77777777" w:rsidR="005369D2" w:rsidRDefault="005369D2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7937391A" w14:textId="7272A6AE" w:rsidR="009E1535" w:rsidRDefault="005369D2" w:rsidP="005369D2">
            <w:pPr>
              <w:spacing w:after="0"/>
            </w:pPr>
            <w:r>
              <w:rPr>
                <w:color w:val="000000"/>
                <w:lang w:val="en-US"/>
              </w:rPr>
              <w:t>“Gemba” is a Japanese term meaning “the real place”</w:t>
            </w:r>
            <w:r w:rsidR="00624471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where work actually happens. A Gemba walk is a structured walk of the floor to see waste first-hand and hear from the people doing the work. It differs from an audit (L1.03): an audit is a one-off scan; a Gemba walk is a regular habit, usually weekly, focused on improvement.</w:t>
            </w:r>
          </w:p>
        </w:tc>
      </w:tr>
    </w:tbl>
    <w:p w14:paraId="0A37501D" w14:textId="77777777" w:rsidR="009E1535" w:rsidRDefault="009E1535">
      <w:pPr>
        <w:spacing w:after="30"/>
      </w:pPr>
    </w:p>
    <w:p w14:paraId="64C9CA7D" w14:textId="77777777" w:rsidR="00024CEA" w:rsidRDefault="00024CEA">
      <w:pPr>
        <w:pStyle w:val="heading10"/>
        <w:rPr>
          <w:color w:val="007260"/>
        </w:rPr>
      </w:pPr>
      <w:r w:rsidRPr="00456BBC">
        <w:rPr>
          <w:color w:val="007260"/>
        </w:rPr>
        <w:t>How a Gemba walk differs from an audit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9E1535" w14:paraId="3271DD25" w14:textId="77777777" w:rsidTr="00456BB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8F912ED" w14:textId="78AC1776" w:rsidR="009E1535" w:rsidRDefault="00456BBC" w:rsidP="00456BBC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Audit (L1.03)</w:t>
            </w:r>
          </w:p>
        </w:tc>
        <w:tc>
          <w:tcPr>
            <w:tcW w:w="504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8F03AB7" w14:textId="44F1BEAF" w:rsidR="009E1535" w:rsidRDefault="00456BBC" w:rsidP="00456BBC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Gemba walk (this tool)</w:t>
            </w:r>
          </w:p>
        </w:tc>
      </w:tr>
      <w:tr w:rsidR="009E1535" w14:paraId="4C3E584D" w14:textId="77777777" w:rsidTr="00456BB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F394B8B" w14:textId="21244420" w:rsidR="009E1535" w:rsidRDefault="00456BBC" w:rsidP="00456BB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One-off or occasional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962B1" w14:textId="13865D2E" w:rsidR="009E1535" w:rsidRDefault="00024CEA">
            <w:pPr>
              <w:spacing w:after="0"/>
            </w:pPr>
            <w:r>
              <w:rPr>
                <w:sz w:val="19"/>
                <w:szCs w:val="19"/>
              </w:rPr>
              <w:t>Regular</w:t>
            </w:r>
            <w:r w:rsidR="000B494C">
              <w:rPr>
                <w:sz w:val="19"/>
                <w:szCs w:val="19"/>
              </w:rPr>
              <w:t xml:space="preserve">, </w:t>
            </w:r>
            <w:r>
              <w:rPr>
                <w:sz w:val="19"/>
                <w:szCs w:val="19"/>
              </w:rPr>
              <w:t>usually weekly</w:t>
            </w:r>
          </w:p>
        </w:tc>
      </w:tr>
      <w:tr w:rsidR="009E1535" w14:paraId="460D10D5" w14:textId="77777777" w:rsidTr="1B040F0B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2C567" w14:textId="77777777" w:rsidR="009E1535" w:rsidRDefault="00024CEA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Find hotspots to measure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15EFB" w14:textId="77777777" w:rsidR="009E1535" w:rsidRDefault="00024CEA">
            <w:pPr>
              <w:spacing w:after="0"/>
            </w:pPr>
            <w:r>
              <w:rPr>
                <w:sz w:val="19"/>
                <w:szCs w:val="19"/>
              </w:rPr>
              <w:t>Drive continuous improvement</w:t>
            </w:r>
          </w:p>
        </w:tc>
      </w:tr>
      <w:tr w:rsidR="009E1535" w14:paraId="115E3A01" w14:textId="77777777" w:rsidTr="00456BBC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6FED6C5" w14:textId="5B400E1A" w:rsidR="009E1535" w:rsidRDefault="00456BBC" w:rsidP="00456BB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You look and record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EA9C1" w14:textId="77777777" w:rsidR="009E1535" w:rsidRDefault="00024CEA">
            <w:pPr>
              <w:spacing w:after="0"/>
            </w:pPr>
            <w:r>
              <w:rPr>
                <w:sz w:val="19"/>
                <w:szCs w:val="19"/>
              </w:rPr>
              <w:t>You look, ask operators, and assign a fix</w:t>
            </w:r>
          </w:p>
        </w:tc>
      </w:tr>
      <w:tr w:rsidR="009E1535" w14:paraId="195B6BE6" w14:textId="77777777" w:rsidTr="1B040F0B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B6DCA5" w14:textId="77777777" w:rsidR="009E1535" w:rsidRDefault="1B040F0B">
            <w:pPr>
              <w:spacing w:after="0"/>
            </w:pPr>
            <w:r w:rsidRPr="1B040F0B">
              <w:rPr>
                <w:b/>
                <w:bCs/>
                <w:sz w:val="19"/>
                <w:szCs w:val="19"/>
                <w:lang w:val="en-US"/>
              </w:rPr>
              <w:t>Whole site in flow order</w:t>
            </w:r>
          </w:p>
        </w:tc>
        <w:tc>
          <w:tcPr>
            <w:tcW w:w="50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E6E04" w14:textId="77777777" w:rsidR="009E1535" w:rsidRDefault="00024CEA">
            <w:pPr>
              <w:spacing w:after="0"/>
            </w:pPr>
            <w:r>
              <w:rPr>
                <w:sz w:val="19"/>
                <w:szCs w:val="19"/>
              </w:rPr>
              <w:t>Often one area, in depth</w:t>
            </w:r>
          </w:p>
        </w:tc>
      </w:tr>
    </w:tbl>
    <w:p w14:paraId="5DAB6C7B" w14:textId="77777777" w:rsidR="009E1535" w:rsidRDefault="009E1535">
      <w:pPr>
        <w:spacing w:after="3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080"/>
      </w:tblGrid>
      <w:tr w:rsidR="009E1535" w14:paraId="354B38A1" w14:textId="77777777" w:rsidTr="00456BBC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D8338DA" w14:textId="5FE7E9C6" w:rsidR="009E1535" w:rsidRDefault="00456BBC" w:rsidP="00456BB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Walk led by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9E1535" w:rsidRDefault="1B040F0B">
            <w:pPr>
              <w:spacing w:after="0"/>
            </w:pPr>
            <w:r w:rsidRPr="1B040F0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9E1535" w14:paraId="2C373848" w14:textId="77777777" w:rsidTr="1B040F0B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F7663" w14:textId="77777777" w:rsidR="009E1535" w:rsidRDefault="00024CEA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Date / time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9E1535" w:rsidRDefault="1B040F0B">
            <w:pPr>
              <w:spacing w:after="0"/>
            </w:pPr>
            <w:r w:rsidRPr="1B040F0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9E1535" w14:paraId="142B041A" w14:textId="77777777" w:rsidTr="00456BBC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A19B6A9" w14:textId="5DB19616" w:rsidR="009E1535" w:rsidRDefault="00456BBC" w:rsidP="00456BBC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Area walked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9E1535" w:rsidRDefault="1B040F0B">
            <w:pPr>
              <w:spacing w:after="0"/>
            </w:pPr>
            <w:r w:rsidRPr="1B040F0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02EB378F" w14:textId="77777777" w:rsidR="009E1535" w:rsidRDefault="009E1535">
      <w:pPr>
        <w:spacing w:after="20"/>
      </w:pPr>
    </w:p>
    <w:p w14:paraId="582BED59" w14:textId="77777777" w:rsidR="00024CEA" w:rsidRDefault="00024CEA">
      <w:pPr>
        <w:pStyle w:val="heading10"/>
        <w:rPr>
          <w:color w:val="007260"/>
        </w:rPr>
      </w:pPr>
      <w:r w:rsidRPr="00B2014C">
        <w:rPr>
          <w:color w:val="007260"/>
        </w:rPr>
        <w:t>Before you start</w:t>
      </w:r>
    </w:p>
    <w:p w14:paraId="1257CEC7" w14:textId="0AE2849C" w:rsidR="009E1535" w:rsidRDefault="00024CEA">
      <w:pPr>
        <w:pStyle w:val="ListParagraph"/>
        <w:numPr>
          <w:ilvl w:val="0"/>
          <w:numId w:val="2"/>
        </w:numPr>
        <w:spacing w:after="60"/>
      </w:pPr>
      <w:r>
        <w:t>Walk at a normal operating time</w:t>
      </w:r>
      <w:r w:rsidR="000B494C">
        <w:t>,</w:t>
      </w:r>
      <w:r>
        <w:t xml:space="preserve"> not when the line is stopped or spotless.</w:t>
      </w:r>
    </w:p>
    <w:p w14:paraId="5A7087FD" w14:textId="77777777" w:rsidR="009E1535" w:rsidRDefault="1B040F0B">
      <w:pPr>
        <w:pStyle w:val="ListParagraph"/>
        <w:numPr>
          <w:ilvl w:val="0"/>
          <w:numId w:val="2"/>
        </w:numPr>
        <w:spacing w:after="60"/>
      </w:pPr>
      <w:r w:rsidRPr="1B040F0B">
        <w:rPr>
          <w:lang w:val="en-US"/>
        </w:rPr>
        <w:t>Observe first, then ask. Ask operators what causes waste; don’t tell them.</w:t>
      </w:r>
    </w:p>
    <w:p w14:paraId="4FA55E41" w14:textId="444BBD1C" w:rsidR="009E1535" w:rsidRDefault="1B040F0B">
      <w:pPr>
        <w:pStyle w:val="ListParagraph"/>
        <w:numPr>
          <w:ilvl w:val="0"/>
          <w:numId w:val="2"/>
        </w:numPr>
        <w:spacing w:after="60"/>
      </w:pPr>
      <w:r w:rsidRPr="1B040F0B">
        <w:rPr>
          <w:lang w:val="en-US"/>
        </w:rPr>
        <w:t>Close out last walk’s action before starting a new one</w:t>
      </w:r>
      <w:r w:rsidR="000B494C">
        <w:rPr>
          <w:lang w:val="en-US"/>
        </w:rPr>
        <w:t xml:space="preserve">, </w:t>
      </w:r>
      <w:r w:rsidRPr="1B040F0B">
        <w:rPr>
          <w:lang w:val="en-US"/>
        </w:rPr>
        <w:t>credibility depends on follow-through.</w:t>
      </w:r>
    </w:p>
    <w:p w14:paraId="6A05A809" w14:textId="77777777" w:rsidR="009E1535" w:rsidRDefault="009E1535">
      <w:pPr>
        <w:spacing w:after="20"/>
      </w:pPr>
    </w:p>
    <w:tbl>
      <w:tblPr>
        <w:tblW w:w="10080" w:type="dxa"/>
        <w:tblBorders>
          <w:left w:val="single" w:sz="24" w:space="0" w:color="F57F1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9E1535" w14:paraId="134CA72E" w14:textId="77777777" w:rsidTr="00827DC4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880FE17" w14:textId="77777777" w:rsidR="00827DC4" w:rsidRDefault="00827DC4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The one rule that makes Gemba work</w:t>
            </w:r>
          </w:p>
          <w:p w14:paraId="75168BA4" w14:textId="17138ECE" w:rsidR="009E1535" w:rsidRDefault="00827DC4" w:rsidP="00827DC4">
            <w:pPr>
              <w:spacing w:after="0"/>
            </w:pPr>
            <w:r>
              <w:rPr>
                <w:color w:val="000000"/>
                <w:lang w:val="en-US"/>
              </w:rPr>
              <w:t>Ask, don’t tell. The people doing the job know where the waste is. Your job on the walk is to ask good questions and remove the blockers they name</w:t>
            </w:r>
            <w:r w:rsidR="008D1B4D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not to hand down instructions.</w:t>
            </w:r>
          </w:p>
        </w:tc>
      </w:tr>
    </w:tbl>
    <w:p w14:paraId="5A39BBE3" w14:textId="77777777" w:rsidR="009E1535" w:rsidRDefault="009E1535">
      <w:pPr>
        <w:spacing w:after="30"/>
      </w:pPr>
    </w:p>
    <w:p w14:paraId="725ED002" w14:textId="77777777" w:rsidR="008D1B4D" w:rsidRDefault="008D1B4D">
      <w:pPr>
        <w:pStyle w:val="heading10"/>
        <w:rPr>
          <w:color w:val="007260"/>
        </w:rPr>
      </w:pPr>
    </w:p>
    <w:p w14:paraId="5D739101" w14:textId="53DA0818" w:rsidR="00024CEA" w:rsidRDefault="00024CEA">
      <w:pPr>
        <w:pStyle w:val="heading10"/>
        <w:rPr>
          <w:color w:val="007260"/>
        </w:rPr>
      </w:pPr>
      <w:r w:rsidRPr="00303524">
        <w:rPr>
          <w:color w:val="007260"/>
        </w:rPr>
        <w:lastRenderedPageBreak/>
        <w:t xml:space="preserve">At each station, ask </w:t>
      </w:r>
      <w:r w:rsidR="008D1B4D">
        <w:rPr>
          <w:color w:val="007260"/>
        </w:rPr>
        <w:t>and</w:t>
      </w:r>
      <w:r w:rsidRPr="00303524">
        <w:rPr>
          <w:color w:val="007260"/>
        </w:rPr>
        <w:t xml:space="preserve"> record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5000"/>
        <w:gridCol w:w="2480"/>
      </w:tblGrid>
      <w:tr w:rsidR="009E1535" w14:paraId="6730A7D9" w14:textId="77777777" w:rsidTr="00303524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83210BE" w14:textId="17476F6F" w:rsidR="009E1535" w:rsidRDefault="00303524" w:rsidP="00303524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Station</w:t>
            </w:r>
          </w:p>
        </w:tc>
        <w:tc>
          <w:tcPr>
            <w:tcW w:w="50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32963B4" w14:textId="0584E864" w:rsidR="009E1535" w:rsidRDefault="00303524" w:rsidP="00303524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What causes waste here? (ask the operator)</w:t>
            </w:r>
          </w:p>
        </w:tc>
        <w:tc>
          <w:tcPr>
            <w:tcW w:w="24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9A97420" w14:textId="482BA8A2" w:rsidR="009E1535" w:rsidRDefault="00303524" w:rsidP="00303524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Quick-win idea</w:t>
            </w:r>
          </w:p>
        </w:tc>
      </w:tr>
      <w:tr w:rsidR="009E1535" w14:paraId="54F9AE05" w14:textId="77777777" w:rsidTr="00303524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C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29D6B04F" w14:textId="6B4D18EE" w:rsidR="009E1535" w:rsidRDefault="00303524" w:rsidP="00303524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959E7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C5B58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E1535" w14:paraId="2894B68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12F40E89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DEACE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C6FC9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E1535" w14:paraId="4671ABCD" w14:textId="77777777" w:rsidTr="00303524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C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156A6281" w14:textId="6D571B62" w:rsidR="009E1535" w:rsidRDefault="00303524" w:rsidP="00303524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76B09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46664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E1535" w14:paraId="3600C3B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5B68B9CD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7172F4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CE300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E1535" w14:paraId="5CF9F362" w14:textId="77777777" w:rsidTr="00303524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C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14:paraId="25DD3341" w14:textId="79E3DDED" w:rsidR="009E1535" w:rsidRDefault="00303524" w:rsidP="00303524">
            <w:pPr>
              <w:spacing w:after="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D831B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E8CB7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E1535" w14:paraId="006C8F7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1895D3B7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E0BDC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031F9" w14:textId="77777777" w:rsidR="009E1535" w:rsidRDefault="00024CEA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1C8F396" w14:textId="77777777" w:rsidR="009E1535" w:rsidRDefault="009E1535">
      <w:pPr>
        <w:spacing w:after="20"/>
      </w:pPr>
    </w:p>
    <w:p w14:paraId="742AE2FF" w14:textId="77777777" w:rsidR="00024CEA" w:rsidRDefault="00024CEA">
      <w:pPr>
        <w:pStyle w:val="heading10"/>
        <w:rPr>
          <w:color w:val="007260"/>
        </w:rPr>
      </w:pPr>
      <w:r w:rsidRPr="002E7A19">
        <w:rPr>
          <w:color w:val="007260"/>
        </w:rPr>
        <w:t>Good questions to ask operators</w:t>
      </w:r>
    </w:p>
    <w:p w14:paraId="3CC2AAF3" w14:textId="77777777" w:rsidR="009E1535" w:rsidRDefault="00024CEA">
      <w:pPr>
        <w:pStyle w:val="ListParagraph"/>
        <w:numPr>
          <w:ilvl w:val="0"/>
          <w:numId w:val="2"/>
        </w:numPr>
        <w:spacing w:after="60"/>
      </w:pPr>
      <w:r>
        <w:t>“What gets wasted here that frustrates you?”</w:t>
      </w:r>
    </w:p>
    <w:p w14:paraId="468869A0" w14:textId="77777777" w:rsidR="009E1535" w:rsidRDefault="00024CEA">
      <w:pPr>
        <w:pStyle w:val="ListParagraph"/>
        <w:numPr>
          <w:ilvl w:val="0"/>
          <w:numId w:val="2"/>
        </w:numPr>
        <w:spacing w:after="60"/>
      </w:pPr>
      <w:r>
        <w:t>“If you could change one thing about this station, what would it be?”</w:t>
      </w:r>
    </w:p>
    <w:p w14:paraId="46B195F1" w14:textId="77777777" w:rsidR="009E1535" w:rsidRDefault="00024CEA">
      <w:pPr>
        <w:pStyle w:val="ListParagraph"/>
        <w:numPr>
          <w:ilvl w:val="0"/>
          <w:numId w:val="2"/>
        </w:numPr>
        <w:spacing w:after="60"/>
      </w:pPr>
      <w:r>
        <w:t>“What causes the most rework or rejects?”</w:t>
      </w:r>
    </w:p>
    <w:p w14:paraId="52E39DA6" w14:textId="77777777" w:rsidR="009E1535" w:rsidRDefault="1B040F0B">
      <w:pPr>
        <w:pStyle w:val="ListParagraph"/>
        <w:numPr>
          <w:ilvl w:val="0"/>
          <w:numId w:val="2"/>
        </w:numPr>
        <w:spacing w:after="60"/>
      </w:pPr>
      <w:r w:rsidRPr="1B040F0B">
        <w:rPr>
          <w:lang w:val="en-US"/>
        </w:rPr>
        <w:t>“Is there anything you do that feels wasteful but you’ve been told to do?”</w:t>
      </w:r>
    </w:p>
    <w:p w14:paraId="72A3D3EC" w14:textId="77777777" w:rsidR="009E1535" w:rsidRDefault="009E1535">
      <w:pPr>
        <w:spacing w:after="20"/>
      </w:pPr>
    </w:p>
    <w:p w14:paraId="3E86E73A" w14:textId="77777777" w:rsidR="00024CEA" w:rsidRDefault="00024CEA">
      <w:pPr>
        <w:pStyle w:val="heading10"/>
        <w:rPr>
          <w:color w:val="007260"/>
        </w:rPr>
      </w:pPr>
      <w:r w:rsidRPr="00722B45">
        <w:rPr>
          <w:color w:val="007260"/>
        </w:rPr>
        <w:t>One improvement from this walk</w:t>
      </w:r>
    </w:p>
    <w:p w14:paraId="2B200FA3" w14:textId="6C52E87F" w:rsidR="009E1535" w:rsidRDefault="00024CEA">
      <w:r>
        <w:t>Leave every walk with exactly one committed improvement</w:t>
      </w:r>
      <w:r w:rsidR="00F67791">
        <w:t xml:space="preserve">, </w:t>
      </w:r>
      <w:r>
        <w:t>more than one and none get done.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080"/>
      </w:tblGrid>
      <w:tr w:rsidR="009E1535" w14:paraId="5101B01B" w14:textId="77777777" w:rsidTr="00722B4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452D496" w14:textId="5FB45A53" w:rsidR="009E1535" w:rsidRDefault="00722B45" w:rsidP="00722B45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Improvement to make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E258" w14:textId="77777777" w:rsidR="009E1535" w:rsidRDefault="1B040F0B">
            <w:pPr>
              <w:spacing w:after="0"/>
            </w:pPr>
            <w:r w:rsidRPr="1B040F0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9E1535" w14:paraId="7D0E3736" w14:textId="77777777" w:rsidTr="1B040F0B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A569D" w14:textId="77777777" w:rsidR="009E1535" w:rsidRDefault="00024CEA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Owner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2286E" w14:textId="77777777" w:rsidR="009E1535" w:rsidRDefault="1B040F0B">
            <w:pPr>
              <w:spacing w:after="0"/>
            </w:pPr>
            <w:r w:rsidRPr="1B040F0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9E1535" w14:paraId="2D7F86BA" w14:textId="77777777" w:rsidTr="00722B4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5F1EC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BCF1A29" w14:textId="0000B30B" w:rsidR="009E1535" w:rsidRDefault="00722B45" w:rsidP="00722B45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Due date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51B15" w14:textId="77777777" w:rsidR="009E1535" w:rsidRDefault="1B040F0B">
            <w:pPr>
              <w:spacing w:after="0"/>
            </w:pPr>
            <w:r w:rsidRPr="1B040F0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0D0B940D" w14:textId="77777777" w:rsidR="009E1535" w:rsidRDefault="009E1535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9E1535" w14:paraId="3772CB39" w14:textId="77777777" w:rsidTr="00FD41FF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CCFD32" w14:textId="77777777" w:rsidR="00FD41FF" w:rsidRDefault="00FD41FF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A walk that worked</w:t>
            </w:r>
          </w:p>
          <w:p w14:paraId="640A86A5" w14:textId="27EBA09F" w:rsidR="009E1535" w:rsidRDefault="00FD41FF" w:rsidP="00FD41FF">
            <w:pPr>
              <w:spacing w:after="0"/>
            </w:pPr>
            <w:r>
              <w:rPr>
                <w:color w:val="000000"/>
                <w:lang w:val="en-US"/>
              </w:rPr>
              <w:t>On a bakery line, the supervisor asked the packer what frustrated them. Answer: “The first 20 loaves each morning are always misshapen</w:t>
            </w:r>
            <w:r w:rsidR="00F67791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the oven’s not up to temp.” Nobody had logged it because it ‘wasn’t anyone’s job’. Fix: a 10-minute earlier oven start. Result: ~100 loaves/week saved, from one question.</w:t>
            </w:r>
          </w:p>
        </w:tc>
      </w:tr>
    </w:tbl>
    <w:p w14:paraId="0E27B00A" w14:textId="77777777" w:rsidR="009E1535" w:rsidRDefault="009E1535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9E1535" w14:paraId="32CFC64B" w14:textId="77777777" w:rsidTr="00632623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5F1E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868797" w14:textId="77777777" w:rsidR="00632623" w:rsidRDefault="00632623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Using this document</w:t>
            </w:r>
          </w:p>
          <w:p w14:paraId="1604B19B" w14:textId="6B0C9966" w:rsidR="009E1535" w:rsidRDefault="00632623" w:rsidP="00632623">
            <w:pPr>
              <w:spacing w:after="0"/>
            </w:pPr>
            <w:r>
              <w:rPr>
                <w:color w:val="000000"/>
                <w:lang w:val="en-US"/>
              </w:rPr>
              <w:t xml:space="preserve">Yellow highlighted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 TO COMPLETE ]</w:t>
            </w:r>
            <w:r>
              <w:rPr>
                <w:color w:val="000000"/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74188C8F" w14:textId="77777777" w:rsidR="00024CEA" w:rsidRDefault="00024CEA"/>
    <w:sectPr w:rsidR="00024CEA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BC10" w14:textId="77777777" w:rsidR="00024CEA" w:rsidRDefault="00024CEA">
      <w:pPr>
        <w:spacing w:after="0" w:line="240" w:lineRule="auto"/>
      </w:pPr>
      <w:r>
        <w:separator/>
      </w:r>
    </w:p>
  </w:endnote>
  <w:endnote w:type="continuationSeparator" w:id="0">
    <w:p w14:paraId="02E49CB8" w14:textId="77777777" w:rsidR="00024CEA" w:rsidRDefault="0002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46E154DB" w:rsidR="009E1535" w:rsidRDefault="1B040F0B" w:rsidP="1B040F0B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1B040F0B">
      <w:rPr>
        <w:color w:val="555555"/>
        <w:sz w:val="15"/>
        <w:szCs w:val="15"/>
        <w:lang w:val="en-US"/>
      </w:rPr>
      <w:t>End Food Waste Australia</w:t>
    </w:r>
    <w:r w:rsidR="002124A8">
      <w:rPr>
        <w:color w:val="555555"/>
        <w:sz w:val="15"/>
        <w:szCs w:val="15"/>
        <w:lang w:val="en-US"/>
      </w:rPr>
      <w:t xml:space="preserve">: </w:t>
    </w:r>
    <w:r w:rsidRPr="1B040F0B">
      <w:rPr>
        <w:color w:val="555555"/>
        <w:sz w:val="15"/>
        <w:szCs w:val="15"/>
        <w:lang w:val="en-US"/>
      </w:rPr>
      <w:t>Commercial-in-confidence</w:t>
    </w:r>
    <w:r w:rsidR="002124A8">
      <w:rPr>
        <w:color w:val="555555"/>
        <w:sz w:val="15"/>
        <w:szCs w:val="15"/>
        <w:lang w:val="en-US"/>
      </w:rPr>
      <w:t xml:space="preserve"> </w:t>
    </w:r>
    <w:r w:rsidRPr="1B040F0B">
      <w:rPr>
        <w:color w:val="555555"/>
        <w:sz w:val="15"/>
        <w:szCs w:val="15"/>
        <w:lang w:val="en-US"/>
      </w:rPr>
      <w:t xml:space="preserve">Page </w:t>
    </w:r>
    <w:r w:rsidR="00024CEA" w:rsidRPr="1B040F0B">
      <w:rPr>
        <w:color w:val="555555"/>
        <w:sz w:val="15"/>
        <w:szCs w:val="15"/>
        <w:lang w:val="en-US"/>
      </w:rPr>
      <w:fldChar w:fldCharType="begin"/>
    </w:r>
    <w:r w:rsidR="00024CEA" w:rsidRPr="1B040F0B">
      <w:rPr>
        <w:color w:val="555555"/>
        <w:sz w:val="15"/>
        <w:szCs w:val="15"/>
      </w:rPr>
      <w:instrText>PAGE</w:instrText>
    </w:r>
    <w:r w:rsidR="00024CEA" w:rsidRPr="1B040F0B">
      <w:rPr>
        <w:color w:val="555555"/>
        <w:sz w:val="15"/>
        <w:szCs w:val="15"/>
      </w:rPr>
      <w:fldChar w:fldCharType="separate"/>
    </w:r>
    <w:r w:rsidR="008E4446">
      <w:rPr>
        <w:noProof/>
        <w:color w:val="555555"/>
        <w:sz w:val="15"/>
        <w:szCs w:val="15"/>
      </w:rPr>
      <w:t>1</w:t>
    </w:r>
    <w:r w:rsidR="00024CEA" w:rsidRPr="1B040F0B">
      <w:rPr>
        <w:color w:val="555555"/>
        <w:sz w:val="15"/>
        <w:szCs w:val="15"/>
        <w:lang w:val="en-US"/>
      </w:rPr>
      <w:fldChar w:fldCharType="end"/>
    </w:r>
    <w:r w:rsidRPr="1B040F0B">
      <w:rPr>
        <w:color w:val="555555"/>
        <w:sz w:val="15"/>
        <w:szCs w:val="15"/>
        <w:lang w:val="en-US"/>
      </w:rPr>
      <w:t xml:space="preserve"> of </w:t>
    </w:r>
    <w:r w:rsidR="00024CEA" w:rsidRPr="1B040F0B">
      <w:rPr>
        <w:color w:val="555555"/>
        <w:sz w:val="15"/>
        <w:szCs w:val="15"/>
        <w:lang w:val="en-US"/>
      </w:rPr>
      <w:fldChar w:fldCharType="begin"/>
    </w:r>
    <w:r w:rsidR="00024CEA" w:rsidRPr="1B040F0B">
      <w:rPr>
        <w:color w:val="555555"/>
        <w:sz w:val="15"/>
        <w:szCs w:val="15"/>
      </w:rPr>
      <w:instrText>NUMPAGES</w:instrText>
    </w:r>
    <w:r w:rsidR="00024CEA" w:rsidRPr="1B040F0B">
      <w:rPr>
        <w:color w:val="555555"/>
        <w:sz w:val="15"/>
        <w:szCs w:val="15"/>
      </w:rPr>
      <w:fldChar w:fldCharType="separate"/>
    </w:r>
    <w:r w:rsidR="008E4446">
      <w:rPr>
        <w:noProof/>
        <w:color w:val="555555"/>
        <w:sz w:val="15"/>
        <w:szCs w:val="15"/>
      </w:rPr>
      <w:t>2</w:t>
    </w:r>
    <w:r w:rsidR="00024CEA" w:rsidRPr="1B040F0B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E9A3" w14:textId="77777777" w:rsidR="00024CEA" w:rsidRDefault="00024CEA">
      <w:pPr>
        <w:spacing w:after="0" w:line="240" w:lineRule="auto"/>
      </w:pPr>
      <w:r>
        <w:separator/>
      </w:r>
    </w:p>
  </w:footnote>
  <w:footnote w:type="continuationSeparator" w:id="0">
    <w:p w14:paraId="6E9690DC" w14:textId="77777777" w:rsidR="00024CEA" w:rsidRDefault="0002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9383" w14:textId="77777777" w:rsidR="002124A8" w:rsidRDefault="002124A8" w:rsidP="1B040F0B">
    <w:pPr>
      <w:pBdr>
        <w:bottom w:val="single" w:sz="6" w:space="4" w:color="2E7D32"/>
      </w:pBdr>
      <w:tabs>
        <w:tab w:val="right" w:pos="10080"/>
      </w:tabs>
      <w:rPr>
        <w:b/>
        <w:bCs/>
        <w:color w:val="007260"/>
        <w:sz w:val="16"/>
        <w:szCs w:val="16"/>
      </w:rPr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342E0F7B" wp14:editId="225146E4">
          <wp:extent cx="2238488" cy="612475"/>
          <wp:effectExtent l="0" t="0" r="0" b="0"/>
          <wp:docPr id="18502770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77045" name="Picture 1850277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914" cy="616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82B50" w14:textId="265F11B2" w:rsidR="009E1535" w:rsidRDefault="1B040F0B" w:rsidP="1B040F0B">
    <w:pPr>
      <w:pBdr>
        <w:bottom w:val="single" w:sz="6" w:space="4" w:color="2E7D32"/>
      </w:pBdr>
      <w:tabs>
        <w:tab w:val="right" w:pos="10080"/>
      </w:tabs>
    </w:pPr>
    <w:r w:rsidRPr="00632623">
      <w:rPr>
        <w:b/>
        <w:bCs/>
        <w:color w:val="007260"/>
        <w:sz w:val="16"/>
        <w:szCs w:val="16"/>
      </w:rPr>
      <w:t>EFWA Excellence Hub</w:t>
    </w:r>
    <w:r w:rsidR="00632623">
      <w:rPr>
        <w:b/>
        <w:bCs/>
        <w:color w:val="2E7D32"/>
        <w:sz w:val="16"/>
        <w:szCs w:val="16"/>
      </w:rPr>
      <w:t xml:space="preserve"> </w:t>
    </w:r>
    <w:r w:rsidRPr="1B040F0B">
      <w:rPr>
        <w:color w:val="555555"/>
        <w:sz w:val="16"/>
        <w:szCs w:val="16"/>
      </w:rPr>
      <w:t>L2 · Gemba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F774"/>
    <w:multiLevelType w:val="hybridMultilevel"/>
    <w:tmpl w:val="189436D2"/>
    <w:lvl w:ilvl="0" w:tplc="630E7984">
      <w:start w:val="1"/>
      <w:numFmt w:val="bullet"/>
      <w:lvlText w:val="●"/>
      <w:lvlJc w:val="left"/>
      <w:pPr>
        <w:ind w:left="720" w:hanging="360"/>
      </w:pPr>
    </w:lvl>
    <w:lvl w:ilvl="1" w:tplc="50B4767E">
      <w:start w:val="1"/>
      <w:numFmt w:val="bullet"/>
      <w:lvlText w:val="○"/>
      <w:lvlJc w:val="left"/>
      <w:pPr>
        <w:ind w:left="1440" w:hanging="360"/>
      </w:pPr>
    </w:lvl>
    <w:lvl w:ilvl="2" w:tplc="1BD4F0A0">
      <w:start w:val="1"/>
      <w:numFmt w:val="bullet"/>
      <w:lvlText w:val="■"/>
      <w:lvlJc w:val="left"/>
      <w:pPr>
        <w:ind w:left="2160" w:hanging="360"/>
      </w:pPr>
    </w:lvl>
    <w:lvl w:ilvl="3" w:tplc="BF1075B4">
      <w:start w:val="1"/>
      <w:numFmt w:val="bullet"/>
      <w:lvlText w:val="●"/>
      <w:lvlJc w:val="left"/>
      <w:pPr>
        <w:ind w:left="2880" w:hanging="360"/>
      </w:pPr>
    </w:lvl>
    <w:lvl w:ilvl="4" w:tplc="0D3E7482">
      <w:start w:val="1"/>
      <w:numFmt w:val="bullet"/>
      <w:lvlText w:val="○"/>
      <w:lvlJc w:val="left"/>
      <w:pPr>
        <w:ind w:left="3600" w:hanging="360"/>
      </w:pPr>
    </w:lvl>
    <w:lvl w:ilvl="5" w:tplc="1A20BF8E">
      <w:start w:val="1"/>
      <w:numFmt w:val="bullet"/>
      <w:lvlText w:val="■"/>
      <w:lvlJc w:val="left"/>
      <w:pPr>
        <w:ind w:left="4320" w:hanging="360"/>
      </w:pPr>
    </w:lvl>
    <w:lvl w:ilvl="6" w:tplc="3A3C72FE">
      <w:start w:val="1"/>
      <w:numFmt w:val="bullet"/>
      <w:lvlText w:val="●"/>
      <w:lvlJc w:val="left"/>
      <w:pPr>
        <w:ind w:left="5040" w:hanging="360"/>
      </w:pPr>
    </w:lvl>
    <w:lvl w:ilvl="7" w:tplc="1918354E">
      <w:start w:val="1"/>
      <w:numFmt w:val="bullet"/>
      <w:lvlText w:val="●"/>
      <w:lvlJc w:val="left"/>
      <w:pPr>
        <w:ind w:left="5760" w:hanging="360"/>
      </w:pPr>
    </w:lvl>
    <w:lvl w:ilvl="8" w:tplc="472A874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B13E7C"/>
    <w:multiLevelType w:val="hybridMultilevel"/>
    <w:tmpl w:val="ABA2D15E"/>
    <w:lvl w:ilvl="0" w:tplc="82742590">
      <w:start w:val="1"/>
      <w:numFmt w:val="bullet"/>
      <w:lvlText w:val="☐"/>
      <w:lvlJc w:val="left"/>
      <w:pPr>
        <w:ind w:left="520" w:hanging="300"/>
      </w:pPr>
    </w:lvl>
    <w:lvl w:ilvl="1" w:tplc="64A43FD8">
      <w:numFmt w:val="decimal"/>
      <w:lvlText w:val=""/>
      <w:lvlJc w:val="left"/>
    </w:lvl>
    <w:lvl w:ilvl="2" w:tplc="BBFEABFA">
      <w:numFmt w:val="decimal"/>
      <w:lvlText w:val=""/>
      <w:lvlJc w:val="left"/>
    </w:lvl>
    <w:lvl w:ilvl="3" w:tplc="430C8758">
      <w:numFmt w:val="decimal"/>
      <w:lvlText w:val=""/>
      <w:lvlJc w:val="left"/>
    </w:lvl>
    <w:lvl w:ilvl="4" w:tplc="CF5A56AC">
      <w:numFmt w:val="decimal"/>
      <w:lvlText w:val=""/>
      <w:lvlJc w:val="left"/>
    </w:lvl>
    <w:lvl w:ilvl="5" w:tplc="91D2A5CE">
      <w:numFmt w:val="decimal"/>
      <w:lvlText w:val=""/>
      <w:lvlJc w:val="left"/>
    </w:lvl>
    <w:lvl w:ilvl="6" w:tplc="80B06274">
      <w:numFmt w:val="decimal"/>
      <w:lvlText w:val=""/>
      <w:lvlJc w:val="left"/>
    </w:lvl>
    <w:lvl w:ilvl="7" w:tplc="799E28D2">
      <w:numFmt w:val="decimal"/>
      <w:lvlText w:val=""/>
      <w:lvlJc w:val="left"/>
    </w:lvl>
    <w:lvl w:ilvl="8" w:tplc="6EFC467A">
      <w:numFmt w:val="decimal"/>
      <w:lvlText w:val=""/>
      <w:lvlJc w:val="left"/>
    </w:lvl>
  </w:abstractNum>
  <w:abstractNum w:abstractNumId="2" w15:restartNumberingAfterBreak="0">
    <w:nsid w:val="53C75848"/>
    <w:multiLevelType w:val="hybridMultilevel"/>
    <w:tmpl w:val="7C00A0AE"/>
    <w:lvl w:ilvl="0" w:tplc="D6389C9C">
      <w:start w:val="1"/>
      <w:numFmt w:val="bullet"/>
      <w:lvlText w:val="•"/>
      <w:lvlJc w:val="left"/>
      <w:pPr>
        <w:ind w:left="520" w:hanging="260"/>
      </w:pPr>
    </w:lvl>
    <w:lvl w:ilvl="1" w:tplc="B25E4FE0">
      <w:numFmt w:val="decimal"/>
      <w:lvlText w:val=""/>
      <w:lvlJc w:val="left"/>
    </w:lvl>
    <w:lvl w:ilvl="2" w:tplc="C59EE222">
      <w:numFmt w:val="decimal"/>
      <w:lvlText w:val=""/>
      <w:lvlJc w:val="left"/>
    </w:lvl>
    <w:lvl w:ilvl="3" w:tplc="F0825714">
      <w:numFmt w:val="decimal"/>
      <w:lvlText w:val=""/>
      <w:lvlJc w:val="left"/>
    </w:lvl>
    <w:lvl w:ilvl="4" w:tplc="0A5A8362">
      <w:numFmt w:val="decimal"/>
      <w:lvlText w:val=""/>
      <w:lvlJc w:val="left"/>
    </w:lvl>
    <w:lvl w:ilvl="5" w:tplc="DAE046E8">
      <w:numFmt w:val="decimal"/>
      <w:lvlText w:val=""/>
      <w:lvlJc w:val="left"/>
    </w:lvl>
    <w:lvl w:ilvl="6" w:tplc="8CB44B42">
      <w:numFmt w:val="decimal"/>
      <w:lvlText w:val=""/>
      <w:lvlJc w:val="left"/>
    </w:lvl>
    <w:lvl w:ilvl="7" w:tplc="81703C26">
      <w:numFmt w:val="decimal"/>
      <w:lvlText w:val=""/>
      <w:lvlJc w:val="left"/>
    </w:lvl>
    <w:lvl w:ilvl="8" w:tplc="1038B600">
      <w:numFmt w:val="decimal"/>
      <w:lvlText w:val=""/>
      <w:lvlJc w:val="left"/>
    </w:lvl>
  </w:abstractNum>
  <w:abstractNum w:abstractNumId="3" w15:restartNumberingAfterBreak="0">
    <w:nsid w:val="5540529A"/>
    <w:multiLevelType w:val="hybridMultilevel"/>
    <w:tmpl w:val="6A0A9096"/>
    <w:lvl w:ilvl="0" w:tplc="2E3E63FA">
      <w:start w:val="1"/>
      <w:numFmt w:val="decimal"/>
      <w:lvlText w:val="%1."/>
      <w:lvlJc w:val="left"/>
      <w:pPr>
        <w:ind w:left="520" w:hanging="300"/>
      </w:pPr>
    </w:lvl>
    <w:lvl w:ilvl="1" w:tplc="EEDE3F50">
      <w:numFmt w:val="decimal"/>
      <w:lvlText w:val=""/>
      <w:lvlJc w:val="left"/>
    </w:lvl>
    <w:lvl w:ilvl="2" w:tplc="3C54B6F8">
      <w:numFmt w:val="decimal"/>
      <w:lvlText w:val=""/>
      <w:lvlJc w:val="left"/>
    </w:lvl>
    <w:lvl w:ilvl="3" w:tplc="D9B472C4">
      <w:numFmt w:val="decimal"/>
      <w:lvlText w:val=""/>
      <w:lvlJc w:val="left"/>
    </w:lvl>
    <w:lvl w:ilvl="4" w:tplc="4FC80870">
      <w:numFmt w:val="decimal"/>
      <w:lvlText w:val=""/>
      <w:lvlJc w:val="left"/>
    </w:lvl>
    <w:lvl w:ilvl="5" w:tplc="FB1C00FA">
      <w:numFmt w:val="decimal"/>
      <w:lvlText w:val=""/>
      <w:lvlJc w:val="left"/>
    </w:lvl>
    <w:lvl w:ilvl="6" w:tplc="E0688144">
      <w:numFmt w:val="decimal"/>
      <w:lvlText w:val=""/>
      <w:lvlJc w:val="left"/>
    </w:lvl>
    <w:lvl w:ilvl="7" w:tplc="878A30EE">
      <w:numFmt w:val="decimal"/>
      <w:lvlText w:val=""/>
      <w:lvlJc w:val="left"/>
    </w:lvl>
    <w:lvl w:ilvl="8" w:tplc="8A86BC82">
      <w:numFmt w:val="decimal"/>
      <w:lvlText w:val=""/>
      <w:lvlJc w:val="left"/>
    </w:lvl>
  </w:abstractNum>
  <w:num w:numId="1" w16cid:durableId="2100131820">
    <w:abstractNumId w:val="0"/>
    <w:lvlOverride w:ilvl="0">
      <w:startOverride w:val="1"/>
    </w:lvlOverride>
  </w:num>
  <w:num w:numId="2" w16cid:durableId="187776569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938407"/>
    <w:rsid w:val="00024CEA"/>
    <w:rsid w:val="000B494C"/>
    <w:rsid w:val="00162077"/>
    <w:rsid w:val="002124A8"/>
    <w:rsid w:val="002E7A19"/>
    <w:rsid w:val="00303524"/>
    <w:rsid w:val="00456BBC"/>
    <w:rsid w:val="004C2B1E"/>
    <w:rsid w:val="004E0AA3"/>
    <w:rsid w:val="005369D2"/>
    <w:rsid w:val="00624471"/>
    <w:rsid w:val="00632623"/>
    <w:rsid w:val="00722B45"/>
    <w:rsid w:val="00827DC4"/>
    <w:rsid w:val="008D1B4D"/>
    <w:rsid w:val="008E4446"/>
    <w:rsid w:val="009E1535"/>
    <w:rsid w:val="00B2014C"/>
    <w:rsid w:val="00F67791"/>
    <w:rsid w:val="00FD41FF"/>
    <w:rsid w:val="1A938407"/>
    <w:rsid w:val="1B0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55470"/>
  <w15:docId w15:val="{E664675B-0873-4539-9439-D0527141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632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623"/>
  </w:style>
  <w:style w:type="paragraph" w:styleId="Footer">
    <w:name w:val="footer"/>
    <w:basedOn w:val="Normal"/>
    <w:link w:val="FooterChar"/>
    <w:uiPriority w:val="99"/>
    <w:unhideWhenUsed/>
    <w:rsid w:val="00632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D680F-8858-471B-8D82-A9A030D44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A44BD-51FF-479B-BB73-FABFAF6EB9AF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3.xml><?xml version="1.0" encoding="utf-8"?>
<ds:datastoreItem xmlns:ds="http://schemas.openxmlformats.org/officeDocument/2006/customXml" ds:itemID="{AE71F3A0-B26A-41C0-85A3-5C492C781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2074</Characters>
  <Application>Microsoft Office Word</Application>
  <DocSecurity>0</DocSecurity>
  <Lines>90</Lines>
  <Paragraphs>61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11</cp:revision>
  <dcterms:created xsi:type="dcterms:W3CDTF">2026-07-03T05:22:00Z</dcterms:created>
  <dcterms:modified xsi:type="dcterms:W3CDTF">2026-07-10T05:54:00Z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