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1C06" w14:textId="77777777" w:rsidR="00707A91" w:rsidRDefault="00707A91">
      <w:pPr>
        <w:spacing w:after="200"/>
      </w:pPr>
      <w:r w:rsidRPr="00875E87">
        <w:rPr>
          <w:b/>
          <w:color w:val="007260"/>
          <w:sz w:val="18"/>
          <w:szCs w:val="18"/>
        </w:rPr>
        <w:t>EFWA EXCELLENCE HUB</w:t>
      </w:r>
      <w:r w:rsidRPr="76F19227">
        <w:rPr>
          <w:b/>
          <w:bCs/>
          <w:color w:val="F57F17"/>
          <w:sz w:val="18"/>
          <w:szCs w:val="18"/>
        </w:rPr>
        <w:t xml:space="preserve">     </w:t>
      </w:r>
      <w:r w:rsidRPr="008E2E6D">
        <w:rPr>
          <w:b/>
          <w:bCs/>
          <w:color w:val="595959" w:themeColor="text1" w:themeTint="A6"/>
          <w:sz w:val="18"/>
          <w:szCs w:val="18"/>
        </w:rPr>
        <w:t>Level 2 · Accountability</w:t>
      </w:r>
    </w:p>
    <w:p w14:paraId="4BC0B412" w14:textId="77777777" w:rsidR="00707A91" w:rsidRDefault="00707A91">
      <w:pPr>
        <w:pStyle w:val="Title0"/>
        <w:rPr>
          <w:color w:val="007260"/>
        </w:rPr>
      </w:pPr>
      <w:r w:rsidRPr="00C62D0C">
        <w:rPr>
          <w:color w:val="007260"/>
        </w:rPr>
        <w:t>Who Owns Food Waste?</w:t>
      </w:r>
    </w:p>
    <w:p w14:paraId="0259EF9D" w14:textId="67B19339" w:rsidR="007721C4" w:rsidRDefault="00707A91">
      <w:pPr>
        <w:spacing w:after="60"/>
      </w:pPr>
      <w:r>
        <w:rPr>
          <w:color w:val="555555"/>
          <w:sz w:val="22"/>
          <w:szCs w:val="22"/>
        </w:rPr>
        <w:t>A one-page governance framework</w:t>
      </w:r>
      <w:r w:rsidR="004756A1">
        <w:rPr>
          <w:color w:val="555555"/>
          <w:sz w:val="22"/>
          <w:szCs w:val="22"/>
        </w:rPr>
        <w:t xml:space="preserve">, </w:t>
      </w:r>
      <w:r>
        <w:rPr>
          <w:color w:val="555555"/>
          <w:sz w:val="22"/>
          <w:szCs w:val="22"/>
        </w:rPr>
        <w:t>plus a template for explaining compliance changes to staff</w:t>
      </w:r>
    </w:p>
    <w:p w14:paraId="2D651021" w14:textId="77777777" w:rsidR="005C152F" w:rsidRDefault="005C152F">
      <w:pPr>
        <w:pBdr>
          <w:bottom w:val="single" w:sz="12" w:space="8" w:color="007260"/>
        </w:pBd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6BDB1FA0" w14:textId="77777777" w:rsidTr="005C152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ADC3A0" w14:textId="77777777" w:rsidR="005C152F" w:rsidRDefault="005C152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163840AD" w14:textId="6136B7C6" w:rsidR="007721C4" w:rsidRDefault="005C152F" w:rsidP="005C152F">
            <w:pPr>
              <w:spacing w:after="0"/>
            </w:pPr>
            <w:r>
              <w:rPr>
                <w:color w:val="000000"/>
                <w:lang w:val="en-US"/>
              </w:rPr>
              <w:t>This framework sets out the three tiers of ownership that make a waste program stick, from the floor to the leadership team. It complements the Role Definitions (L2.07): roles say who does each task; this says how accountability flows and escalates.</w:t>
            </w:r>
          </w:p>
        </w:tc>
      </w:tr>
    </w:tbl>
    <w:p w14:paraId="0A37501D" w14:textId="77777777" w:rsidR="007721C4" w:rsidRDefault="007721C4">
      <w:pPr>
        <w:spacing w:after="30"/>
      </w:pPr>
    </w:p>
    <w:p w14:paraId="78A247C7" w14:textId="77777777" w:rsidR="00707A91" w:rsidRDefault="00707A91">
      <w:pPr>
        <w:pStyle w:val="heading10"/>
        <w:rPr>
          <w:color w:val="007260"/>
        </w:rPr>
      </w:pPr>
      <w:r w:rsidRPr="00BB5EEB">
        <w:rPr>
          <w:color w:val="007260"/>
        </w:rPr>
        <w:t>Three tiers of ownership</w:t>
      </w:r>
    </w:p>
    <w:p w14:paraId="069E9A53" w14:textId="77777777" w:rsidR="007721C4" w:rsidRDefault="76F19227">
      <w:r w:rsidRPr="76F19227">
        <w:rPr>
          <w:lang w:val="en-US"/>
        </w:rPr>
        <w:t>Responsibility flows up from the floor to leadership, and support flows back down. Name a person for each tier.</w:t>
      </w: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25867C81" w14:textId="77777777" w:rsidTr="005C152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22C87A" w14:textId="2BB46387" w:rsidR="005C152F" w:rsidRDefault="005C152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Floor</w:t>
            </w:r>
            <w:r w:rsidR="008B13E0">
              <w:rPr>
                <w:b/>
                <w:bCs/>
                <w:color w:val="007260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007260"/>
                <w:sz w:val="22"/>
                <w:szCs w:val="22"/>
              </w:rPr>
              <w:t xml:space="preserve">capture </w:t>
            </w:r>
            <w:r w:rsidR="008B13E0">
              <w:rPr>
                <w:b/>
                <w:bCs/>
                <w:color w:val="007260"/>
                <w:sz w:val="22"/>
                <w:szCs w:val="22"/>
              </w:rPr>
              <w:t>and</w:t>
            </w:r>
            <w:r>
              <w:rPr>
                <w:b/>
                <w:bCs/>
                <w:color w:val="007260"/>
                <w:sz w:val="22"/>
                <w:szCs w:val="22"/>
              </w:rPr>
              <w:t xml:space="preserve"> act</w:t>
            </w:r>
          </w:p>
          <w:p w14:paraId="6971D64C" w14:textId="77777777" w:rsidR="005C152F" w:rsidRDefault="005C152F">
            <w:pPr>
              <w:spacing w:after="20"/>
            </w:pPr>
            <w:r>
              <w:rPr>
                <w:b/>
                <w:bCs/>
                <w:color w:val="000000"/>
                <w:lang w:val="en-US"/>
              </w:rPr>
              <w:t xml:space="preserve">Who: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</w:p>
          <w:p w14:paraId="2F35CA47" w14:textId="4F3703B1" w:rsidR="007721C4" w:rsidRDefault="005C152F" w:rsidP="005C152F">
            <w:pPr>
              <w:spacing w:after="0"/>
            </w:pPr>
            <w:r>
              <w:rPr>
                <w:color w:val="000000"/>
              </w:rPr>
              <w:t>Reviews waste at each shift · logs and acts on obvious causes</w:t>
            </w:r>
          </w:p>
        </w:tc>
      </w:tr>
    </w:tbl>
    <w:p w14:paraId="5DAB6C7B" w14:textId="77777777" w:rsidR="007721C4" w:rsidRDefault="007721C4">
      <w:pPr>
        <w:spacing w:after="20"/>
      </w:pP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3974DF80" w14:textId="77777777" w:rsidTr="007C3DC9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D7340C" w14:textId="52BE6905" w:rsidR="007C3DC9" w:rsidRDefault="007C3DC9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Coordinator</w:t>
            </w:r>
            <w:r w:rsidR="008B13E0">
              <w:rPr>
                <w:b/>
                <w:bCs/>
                <w:color w:val="007260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007260"/>
                <w:sz w:val="22"/>
                <w:szCs w:val="22"/>
              </w:rPr>
              <w:t xml:space="preserve">compile </w:t>
            </w:r>
            <w:r w:rsidR="008B13E0">
              <w:rPr>
                <w:b/>
                <w:bCs/>
                <w:color w:val="007260"/>
                <w:sz w:val="22"/>
                <w:szCs w:val="22"/>
              </w:rPr>
              <w:t>and</w:t>
            </w:r>
            <w:r>
              <w:rPr>
                <w:b/>
                <w:bCs/>
                <w:color w:val="007260"/>
                <w:sz w:val="22"/>
                <w:szCs w:val="22"/>
              </w:rPr>
              <w:t xml:space="preserve"> improve</w:t>
            </w:r>
          </w:p>
          <w:p w14:paraId="7CF45CCA" w14:textId="77777777" w:rsidR="007C3DC9" w:rsidRDefault="007C3DC9">
            <w:pPr>
              <w:spacing w:after="20"/>
            </w:pPr>
            <w:r>
              <w:rPr>
                <w:b/>
                <w:bCs/>
                <w:color w:val="000000"/>
                <w:lang w:val="en-US"/>
              </w:rPr>
              <w:t xml:space="preserve">Who: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</w:p>
          <w:p w14:paraId="4E36D17C" w14:textId="4598A692" w:rsidR="007721C4" w:rsidRDefault="007C3DC9" w:rsidP="007C3DC9">
            <w:pPr>
              <w:spacing w:after="0"/>
            </w:pPr>
            <w:r>
              <w:rPr>
                <w:color w:val="000000"/>
              </w:rPr>
              <w:t>Compiles the weekly summary · runs root cause · drives improvements</w:t>
            </w:r>
          </w:p>
        </w:tc>
      </w:tr>
    </w:tbl>
    <w:p w14:paraId="02EB378F" w14:textId="77777777" w:rsidR="007721C4" w:rsidRDefault="007721C4">
      <w:pPr>
        <w:spacing w:after="20"/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17A7441C" w14:textId="77777777" w:rsidTr="005C152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9C33C7" w14:textId="27636F82" w:rsidR="005C152F" w:rsidRDefault="005C152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Sponsor</w:t>
            </w:r>
            <w:r w:rsidR="008B13E0">
              <w:rPr>
                <w:b/>
                <w:bCs/>
                <w:color w:val="007260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007260"/>
                <w:sz w:val="22"/>
                <w:szCs w:val="22"/>
              </w:rPr>
              <w:t xml:space="preserve">govern </w:t>
            </w:r>
            <w:r w:rsidR="008B13E0">
              <w:rPr>
                <w:b/>
                <w:bCs/>
                <w:color w:val="007260"/>
                <w:sz w:val="22"/>
                <w:szCs w:val="22"/>
              </w:rPr>
              <w:t>and</w:t>
            </w:r>
            <w:r>
              <w:rPr>
                <w:b/>
                <w:bCs/>
                <w:color w:val="007260"/>
                <w:sz w:val="22"/>
                <w:szCs w:val="22"/>
              </w:rPr>
              <w:t xml:space="preserve"> escalate</w:t>
            </w:r>
          </w:p>
          <w:p w14:paraId="777AFD2E" w14:textId="77777777" w:rsidR="005C152F" w:rsidRDefault="005C152F">
            <w:pPr>
              <w:spacing w:after="20"/>
            </w:pPr>
            <w:r>
              <w:rPr>
                <w:b/>
                <w:bCs/>
                <w:color w:val="000000"/>
                <w:lang w:val="en-US"/>
              </w:rPr>
              <w:t xml:space="preserve">Who: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</w:p>
          <w:p w14:paraId="70798A67" w14:textId="444FCE23" w:rsidR="007721C4" w:rsidRDefault="005C152F" w:rsidP="005C152F">
            <w:pPr>
              <w:spacing w:after="0"/>
            </w:pPr>
            <w:r>
              <w:rPr>
                <w:color w:val="000000"/>
              </w:rPr>
              <w:t>Owns the target · reviews the monthly report · removes blockers</w:t>
            </w:r>
          </w:p>
        </w:tc>
      </w:tr>
    </w:tbl>
    <w:p w14:paraId="6A05A809" w14:textId="77777777" w:rsidR="007721C4" w:rsidRDefault="007721C4">
      <w:pPr>
        <w:spacing w:after="20"/>
      </w:pPr>
    </w:p>
    <w:p w14:paraId="40837129" w14:textId="77777777" w:rsidR="00707A91" w:rsidRDefault="00707A91">
      <w:pPr>
        <w:pStyle w:val="heading10"/>
        <w:rPr>
          <w:color w:val="007260"/>
        </w:rPr>
      </w:pPr>
      <w:r w:rsidRPr="004806B3">
        <w:rPr>
          <w:color w:val="007260"/>
        </w:rPr>
        <w:t>Escalation path</w:t>
      </w:r>
    </w:p>
    <w:p w14:paraId="46ABDA7C" w14:textId="77777777" w:rsidR="007721C4" w:rsidRDefault="76F19227">
      <w:r w:rsidRPr="76F19227">
        <w:rPr>
          <w:lang w:val="en-US"/>
        </w:rPr>
        <w:t xml:space="preserve">Define what triggers escalation so problems don’t stall </w:t>
      </w:r>
      <w:proofErr w:type="gramStart"/>
      <w:r w:rsidRPr="76F19227">
        <w:rPr>
          <w:lang w:val="en-US"/>
        </w:rPr>
        <w:t>at</w:t>
      </w:r>
      <w:proofErr w:type="gramEnd"/>
      <w:r w:rsidRPr="76F19227">
        <w:rPr>
          <w:lang w:val="en-US"/>
        </w:rPr>
        <w:t xml:space="preserve"> the floor.</w:t>
      </w:r>
    </w:p>
    <w:p w14:paraId="170115A9" w14:textId="77777777" w:rsidR="007721C4" w:rsidRDefault="76F19227">
      <w:pPr>
        <w:spacing w:after="80"/>
      </w:pPr>
      <w:r w:rsidRPr="76F19227">
        <w:rPr>
          <w:b/>
          <w:bCs/>
          <w:lang w:val="en-US"/>
        </w:rPr>
        <w:t xml:space="preserve">Anything above target, or unresolved for 2 weeks, escalates to: </w:t>
      </w:r>
      <w:proofErr w:type="gramStart"/>
      <w:r w:rsidRPr="76F19227">
        <w:rPr>
          <w:b/>
          <w:bCs/>
          <w:lang w:val="en-US"/>
        </w:rPr>
        <w:t xml:space="preserve"> </w:t>
      </w:r>
      <w:r w:rsidRPr="76F19227">
        <w:rPr>
          <w:b/>
          <w:bCs/>
          <w:color w:val="C62828"/>
          <w:highlight w:val="yellow"/>
          <w:lang w:val="en-US"/>
        </w:rPr>
        <w:t xml:space="preserve">  [</w:t>
      </w:r>
      <w:proofErr w:type="gramEnd"/>
      <w:r w:rsidRPr="76F19227">
        <w:rPr>
          <w:b/>
          <w:bCs/>
          <w:color w:val="C62828"/>
          <w:highlight w:val="yellow"/>
          <w:lang w:val="en-US"/>
        </w:rPr>
        <w:t xml:space="preserve"> CLIENT TO </w:t>
      </w:r>
      <w:proofErr w:type="gramStart"/>
      <w:r w:rsidRPr="76F19227">
        <w:rPr>
          <w:b/>
          <w:bCs/>
          <w:color w:val="C62828"/>
          <w:highlight w:val="yellow"/>
          <w:lang w:val="en-US"/>
        </w:rPr>
        <w:t>COMPLETE ]</w:t>
      </w:r>
      <w:proofErr w:type="gramEnd"/>
      <w:r w:rsidRPr="76F19227">
        <w:rPr>
          <w:b/>
          <w:bCs/>
          <w:color w:val="C62828"/>
          <w:highlight w:val="yellow"/>
          <w:lang w:val="en-US"/>
        </w:rPr>
        <w:t xml:space="preserve">  </w:t>
      </w:r>
    </w:p>
    <w:p w14:paraId="5A39BBE3" w14:textId="77777777" w:rsidR="007721C4" w:rsidRDefault="007721C4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20CCB3AD" w14:textId="77777777" w:rsidTr="000E43A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549CF3" w14:textId="77777777" w:rsidR="000E43A0" w:rsidRDefault="000E43A0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How ownership flows in practice</w:t>
            </w:r>
          </w:p>
          <w:p w14:paraId="512A1AE9" w14:textId="3915E1E1" w:rsidR="007721C4" w:rsidRDefault="000E43A0" w:rsidP="000E43A0">
            <w:pPr>
              <w:spacing w:after="0"/>
            </w:pPr>
            <w:r>
              <w:rPr>
                <w:color w:val="000000"/>
              </w:rPr>
              <w:t>An operator logs rising spoilage (floor). The coordinator spots the weekly trend, runs a 5 Whys, and finds a fridge running warm (compile &amp; improve). The fix needs a capital repair beyond their authority, so it escalates to the sponsor, who approves it at the monthly review (govern &amp; escalate). Each tier did its part; nothing stalled.</w:t>
            </w:r>
          </w:p>
        </w:tc>
      </w:tr>
    </w:tbl>
    <w:p w14:paraId="3C12D4F0" w14:textId="57CAFB87" w:rsidR="00707A91" w:rsidRDefault="00707A91">
      <w:pPr>
        <w:pStyle w:val="heading10"/>
        <w:rPr>
          <w:color w:val="007260"/>
        </w:rPr>
      </w:pPr>
      <w:r w:rsidRPr="005C152F">
        <w:rPr>
          <w:color w:val="007260"/>
        </w:rPr>
        <w:lastRenderedPageBreak/>
        <w:t>Bonus: compliance messaging template</w:t>
      </w:r>
    </w:p>
    <w:p w14:paraId="7E40B5F7" w14:textId="77777777" w:rsidR="007721C4" w:rsidRDefault="76F19227">
      <w:r w:rsidRPr="76F19227">
        <w:rPr>
          <w:lang w:val="en-US"/>
        </w:rPr>
        <w:t>Use this to explain a compliance change (e.g. FOGO) to staff, framed positively rather than as a burden.</w:t>
      </w: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673EBDBB" w14:textId="77777777" w:rsidTr="000E43A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703A99" w14:textId="465F3FBE" w:rsidR="007721C4" w:rsidRDefault="000E43A0" w:rsidP="000E43A0">
            <w:pPr>
              <w:spacing w:after="0"/>
            </w:pPr>
            <w:r>
              <w:rPr>
                <w:color w:val="000000"/>
                <w:lang w:val="en-US"/>
              </w:rPr>
              <w:t xml:space="preserve">“From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[date]</w:t>
            </w:r>
            <w:r>
              <w:rPr>
                <w:color w:val="000000"/>
                <w:lang w:val="en-US"/>
              </w:rPr>
              <w:t xml:space="preserve">, we’re separating organics to meet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[requirement]</w:t>
            </w:r>
            <w:r>
              <w:rPr>
                <w:color w:val="000000"/>
                <w:lang w:val="en-US"/>
              </w:rPr>
              <w:t>. It’s also good for us: it cuts disposal cost</w:t>
            </w:r>
            <w:r w:rsidR="00326748">
              <w:rPr>
                <w:color w:val="000000"/>
                <w:lang w:val="en-US"/>
              </w:rPr>
              <w:t>s</w:t>
            </w:r>
            <w:r>
              <w:rPr>
                <w:color w:val="000000"/>
                <w:lang w:val="en-US"/>
              </w:rPr>
              <w:t xml:space="preserve"> and shows customers we’re serious about waste. Here’s what changes for you: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[what changes]</w:t>
            </w:r>
            <w:r>
              <w:rPr>
                <w:color w:val="000000"/>
                <w:lang w:val="en-US"/>
              </w:rPr>
              <w:t>.”</w:t>
            </w:r>
          </w:p>
        </w:tc>
      </w:tr>
    </w:tbl>
    <w:p w14:paraId="0D0B940D" w14:textId="77777777" w:rsidR="007721C4" w:rsidRDefault="007721C4">
      <w:pPr>
        <w:spacing w:after="20"/>
      </w:pP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236D4C41" w14:textId="77777777" w:rsidTr="007C3DC9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CD42E6" w14:textId="77777777" w:rsidR="007C3DC9" w:rsidRDefault="007C3DC9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Framing tip</w:t>
            </w:r>
          </w:p>
          <w:p w14:paraId="661620FC" w14:textId="008C60AD" w:rsidR="007721C4" w:rsidRDefault="007C3DC9" w:rsidP="007C3DC9">
            <w:pPr>
              <w:spacing w:after="0"/>
            </w:pPr>
            <w:r>
              <w:rPr>
                <w:color w:val="000000"/>
                <w:lang w:val="en-US"/>
              </w:rPr>
              <w:t>Lead with the ‘why it helps us’, not just the ‘you must’. Staff support changes they understand the reason for.</w:t>
            </w:r>
          </w:p>
        </w:tc>
      </w:tr>
    </w:tbl>
    <w:p w14:paraId="0E27B00A" w14:textId="77777777" w:rsidR="007721C4" w:rsidRDefault="007721C4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721C4" w14:paraId="32CFC64B" w14:textId="77777777" w:rsidTr="000E43A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2B176A" w14:textId="77777777" w:rsidR="000E43A0" w:rsidRDefault="000E43A0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492E06CA" w:rsidR="007721C4" w:rsidRDefault="000E43A0" w:rsidP="000E43A0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1000C9FE" w14:textId="77777777" w:rsidR="00707A91" w:rsidRDefault="00707A91"/>
    <w:sectPr w:rsidR="00707A91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DB3F" w14:textId="77777777" w:rsidR="00707A91" w:rsidRDefault="00707A91">
      <w:pPr>
        <w:spacing w:after="0" w:line="240" w:lineRule="auto"/>
      </w:pPr>
      <w:r>
        <w:separator/>
      </w:r>
    </w:p>
  </w:endnote>
  <w:endnote w:type="continuationSeparator" w:id="0">
    <w:p w14:paraId="7916F2FC" w14:textId="77777777" w:rsidR="00707A91" w:rsidRDefault="0070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234F2DC3" w:rsidR="007721C4" w:rsidRDefault="76F19227" w:rsidP="76F19227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76F19227">
      <w:rPr>
        <w:color w:val="555555"/>
        <w:sz w:val="15"/>
        <w:szCs w:val="15"/>
        <w:lang w:val="en-US"/>
      </w:rPr>
      <w:t>End Food Waste Australia</w:t>
    </w:r>
    <w:r w:rsidR="008E2E6D">
      <w:rPr>
        <w:color w:val="555555"/>
        <w:sz w:val="15"/>
        <w:szCs w:val="15"/>
        <w:lang w:val="en-US"/>
      </w:rPr>
      <w:t>:</w:t>
    </w:r>
    <w:r w:rsidRPr="76F19227">
      <w:rPr>
        <w:color w:val="555555"/>
        <w:sz w:val="15"/>
        <w:szCs w:val="15"/>
        <w:lang w:val="en-US"/>
      </w:rPr>
      <w:t xml:space="preserve"> Commercial-in-confidence</w:t>
    </w:r>
    <w:r w:rsidR="008E2E6D">
      <w:rPr>
        <w:color w:val="555555"/>
        <w:sz w:val="15"/>
        <w:szCs w:val="15"/>
        <w:lang w:val="en-US"/>
      </w:rPr>
      <w:t xml:space="preserve"> </w:t>
    </w:r>
    <w:r w:rsidRPr="76F19227">
      <w:rPr>
        <w:color w:val="555555"/>
        <w:sz w:val="15"/>
        <w:szCs w:val="15"/>
        <w:lang w:val="en-US"/>
      </w:rPr>
      <w:t xml:space="preserve">Page </w:t>
    </w:r>
    <w:r w:rsidR="00707A91" w:rsidRPr="76F19227">
      <w:rPr>
        <w:color w:val="555555"/>
        <w:sz w:val="15"/>
        <w:szCs w:val="15"/>
        <w:lang w:val="en-US"/>
      </w:rPr>
      <w:fldChar w:fldCharType="begin"/>
    </w:r>
    <w:r w:rsidR="00707A91" w:rsidRPr="76F19227">
      <w:rPr>
        <w:color w:val="555555"/>
        <w:sz w:val="15"/>
        <w:szCs w:val="15"/>
      </w:rPr>
      <w:instrText>PAGE</w:instrText>
    </w:r>
    <w:r w:rsidR="00707A91" w:rsidRPr="76F19227">
      <w:rPr>
        <w:color w:val="555555"/>
        <w:sz w:val="15"/>
        <w:szCs w:val="15"/>
      </w:rPr>
      <w:fldChar w:fldCharType="separate"/>
    </w:r>
    <w:r w:rsidR="004756A1">
      <w:rPr>
        <w:noProof/>
        <w:color w:val="555555"/>
        <w:sz w:val="15"/>
        <w:szCs w:val="15"/>
      </w:rPr>
      <w:t>1</w:t>
    </w:r>
    <w:r w:rsidR="00707A91" w:rsidRPr="76F19227">
      <w:rPr>
        <w:color w:val="555555"/>
        <w:sz w:val="15"/>
        <w:szCs w:val="15"/>
        <w:lang w:val="en-US"/>
      </w:rPr>
      <w:fldChar w:fldCharType="end"/>
    </w:r>
    <w:r w:rsidRPr="76F19227">
      <w:rPr>
        <w:color w:val="555555"/>
        <w:sz w:val="15"/>
        <w:szCs w:val="15"/>
        <w:lang w:val="en-US"/>
      </w:rPr>
      <w:t xml:space="preserve"> of </w:t>
    </w:r>
    <w:r w:rsidR="00707A91" w:rsidRPr="76F19227">
      <w:rPr>
        <w:color w:val="555555"/>
        <w:sz w:val="15"/>
        <w:szCs w:val="15"/>
        <w:lang w:val="en-US"/>
      </w:rPr>
      <w:fldChar w:fldCharType="begin"/>
    </w:r>
    <w:r w:rsidR="00707A91" w:rsidRPr="76F19227">
      <w:rPr>
        <w:color w:val="555555"/>
        <w:sz w:val="15"/>
        <w:szCs w:val="15"/>
      </w:rPr>
      <w:instrText>NUMPAGES</w:instrText>
    </w:r>
    <w:r w:rsidR="00707A91" w:rsidRPr="76F19227">
      <w:rPr>
        <w:color w:val="555555"/>
        <w:sz w:val="15"/>
        <w:szCs w:val="15"/>
      </w:rPr>
      <w:fldChar w:fldCharType="separate"/>
    </w:r>
    <w:r w:rsidR="004756A1">
      <w:rPr>
        <w:noProof/>
        <w:color w:val="555555"/>
        <w:sz w:val="15"/>
        <w:szCs w:val="15"/>
      </w:rPr>
      <w:t>2</w:t>
    </w:r>
    <w:r w:rsidR="00707A91" w:rsidRPr="76F19227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A7C4" w14:textId="77777777" w:rsidR="00707A91" w:rsidRDefault="00707A91">
      <w:pPr>
        <w:spacing w:after="0" w:line="240" w:lineRule="auto"/>
      </w:pPr>
      <w:r>
        <w:separator/>
      </w:r>
    </w:p>
  </w:footnote>
  <w:footnote w:type="continuationSeparator" w:id="0">
    <w:p w14:paraId="1B2113B0" w14:textId="77777777" w:rsidR="00707A91" w:rsidRDefault="0070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EB43" w14:textId="77777777" w:rsidR="008E2E6D" w:rsidRDefault="008E2E6D" w:rsidP="76F19227">
    <w:pPr>
      <w:pBdr>
        <w:bottom w:val="single" w:sz="6" w:space="4" w:color="2E7D32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31C3B13F" wp14:editId="384DFF7D">
          <wp:extent cx="1684354" cy="460858"/>
          <wp:effectExtent l="0" t="0" r="0" b="0"/>
          <wp:docPr id="1396961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61837" name="Picture 1396961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141" cy="47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A69E5" w14:textId="729FD561" w:rsidR="007721C4" w:rsidRDefault="76F19227" w:rsidP="76F19227">
    <w:pPr>
      <w:pBdr>
        <w:bottom w:val="single" w:sz="6" w:space="4" w:color="2E7D32"/>
      </w:pBdr>
      <w:tabs>
        <w:tab w:val="right" w:pos="10080"/>
      </w:tabs>
    </w:pPr>
    <w:r w:rsidRPr="000E43A0">
      <w:rPr>
        <w:b/>
        <w:bCs/>
        <w:color w:val="007260"/>
        <w:sz w:val="16"/>
        <w:szCs w:val="16"/>
      </w:rPr>
      <w:t>EFWA Excellence Hub</w:t>
    </w:r>
    <w:r w:rsidR="000E43A0">
      <w:rPr>
        <w:b/>
        <w:bCs/>
        <w:color w:val="2E7D32"/>
        <w:sz w:val="16"/>
        <w:szCs w:val="16"/>
      </w:rPr>
      <w:t xml:space="preserve"> </w:t>
    </w:r>
    <w:r w:rsidRPr="76F19227">
      <w:rPr>
        <w:color w:val="555555"/>
        <w:sz w:val="16"/>
        <w:szCs w:val="16"/>
      </w:rPr>
      <w:t>L2 · Governance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76A3"/>
    <w:multiLevelType w:val="hybridMultilevel"/>
    <w:tmpl w:val="4C86037E"/>
    <w:lvl w:ilvl="0" w:tplc="7A3E167C">
      <w:start w:val="1"/>
      <w:numFmt w:val="bullet"/>
      <w:lvlText w:val="●"/>
      <w:lvlJc w:val="left"/>
      <w:pPr>
        <w:ind w:left="720" w:hanging="360"/>
      </w:pPr>
    </w:lvl>
    <w:lvl w:ilvl="1" w:tplc="18829CE4">
      <w:start w:val="1"/>
      <w:numFmt w:val="bullet"/>
      <w:lvlText w:val="○"/>
      <w:lvlJc w:val="left"/>
      <w:pPr>
        <w:ind w:left="1440" w:hanging="360"/>
      </w:pPr>
    </w:lvl>
    <w:lvl w:ilvl="2" w:tplc="49BAB1C4">
      <w:start w:val="1"/>
      <w:numFmt w:val="bullet"/>
      <w:lvlText w:val="■"/>
      <w:lvlJc w:val="left"/>
      <w:pPr>
        <w:ind w:left="2160" w:hanging="360"/>
      </w:pPr>
    </w:lvl>
    <w:lvl w:ilvl="3" w:tplc="3A5A0ED4">
      <w:start w:val="1"/>
      <w:numFmt w:val="bullet"/>
      <w:lvlText w:val="●"/>
      <w:lvlJc w:val="left"/>
      <w:pPr>
        <w:ind w:left="2880" w:hanging="360"/>
      </w:pPr>
    </w:lvl>
    <w:lvl w:ilvl="4" w:tplc="35F6716A">
      <w:start w:val="1"/>
      <w:numFmt w:val="bullet"/>
      <w:lvlText w:val="○"/>
      <w:lvlJc w:val="left"/>
      <w:pPr>
        <w:ind w:left="3600" w:hanging="360"/>
      </w:pPr>
    </w:lvl>
    <w:lvl w:ilvl="5" w:tplc="925EB480">
      <w:start w:val="1"/>
      <w:numFmt w:val="bullet"/>
      <w:lvlText w:val="■"/>
      <w:lvlJc w:val="left"/>
      <w:pPr>
        <w:ind w:left="4320" w:hanging="360"/>
      </w:pPr>
    </w:lvl>
    <w:lvl w:ilvl="6" w:tplc="0E8EA760">
      <w:start w:val="1"/>
      <w:numFmt w:val="bullet"/>
      <w:lvlText w:val="●"/>
      <w:lvlJc w:val="left"/>
      <w:pPr>
        <w:ind w:left="5040" w:hanging="360"/>
      </w:pPr>
    </w:lvl>
    <w:lvl w:ilvl="7" w:tplc="AC246E5C">
      <w:start w:val="1"/>
      <w:numFmt w:val="bullet"/>
      <w:lvlText w:val="●"/>
      <w:lvlJc w:val="left"/>
      <w:pPr>
        <w:ind w:left="5760" w:hanging="360"/>
      </w:pPr>
    </w:lvl>
    <w:lvl w:ilvl="8" w:tplc="1884E1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E2724E"/>
    <w:multiLevelType w:val="hybridMultilevel"/>
    <w:tmpl w:val="B22EFB00"/>
    <w:lvl w:ilvl="0" w:tplc="DBC4A5F0">
      <w:start w:val="1"/>
      <w:numFmt w:val="bullet"/>
      <w:lvlText w:val="•"/>
      <w:lvlJc w:val="left"/>
      <w:pPr>
        <w:ind w:left="520" w:hanging="260"/>
      </w:pPr>
    </w:lvl>
    <w:lvl w:ilvl="1" w:tplc="8BE662E6">
      <w:numFmt w:val="decimal"/>
      <w:lvlText w:val=""/>
      <w:lvlJc w:val="left"/>
    </w:lvl>
    <w:lvl w:ilvl="2" w:tplc="A20C324C">
      <w:numFmt w:val="decimal"/>
      <w:lvlText w:val=""/>
      <w:lvlJc w:val="left"/>
    </w:lvl>
    <w:lvl w:ilvl="3" w:tplc="1D2A5462">
      <w:numFmt w:val="decimal"/>
      <w:lvlText w:val=""/>
      <w:lvlJc w:val="left"/>
    </w:lvl>
    <w:lvl w:ilvl="4" w:tplc="CD861ED2">
      <w:numFmt w:val="decimal"/>
      <w:lvlText w:val=""/>
      <w:lvlJc w:val="left"/>
    </w:lvl>
    <w:lvl w:ilvl="5" w:tplc="A94EBE0A">
      <w:numFmt w:val="decimal"/>
      <w:lvlText w:val=""/>
      <w:lvlJc w:val="left"/>
    </w:lvl>
    <w:lvl w:ilvl="6" w:tplc="0BEEF73A">
      <w:numFmt w:val="decimal"/>
      <w:lvlText w:val=""/>
      <w:lvlJc w:val="left"/>
    </w:lvl>
    <w:lvl w:ilvl="7" w:tplc="EE0031C0">
      <w:numFmt w:val="decimal"/>
      <w:lvlText w:val=""/>
      <w:lvlJc w:val="left"/>
    </w:lvl>
    <w:lvl w:ilvl="8" w:tplc="1CF088D4">
      <w:numFmt w:val="decimal"/>
      <w:lvlText w:val=""/>
      <w:lvlJc w:val="left"/>
    </w:lvl>
  </w:abstractNum>
  <w:abstractNum w:abstractNumId="2" w15:restartNumberingAfterBreak="0">
    <w:nsid w:val="4A491A27"/>
    <w:multiLevelType w:val="hybridMultilevel"/>
    <w:tmpl w:val="00A401FC"/>
    <w:lvl w:ilvl="0" w:tplc="87CC2A34">
      <w:start w:val="1"/>
      <w:numFmt w:val="decimal"/>
      <w:lvlText w:val="%1."/>
      <w:lvlJc w:val="left"/>
      <w:pPr>
        <w:ind w:left="520" w:hanging="300"/>
      </w:pPr>
    </w:lvl>
    <w:lvl w:ilvl="1" w:tplc="6778E6BE">
      <w:numFmt w:val="decimal"/>
      <w:lvlText w:val=""/>
      <w:lvlJc w:val="left"/>
    </w:lvl>
    <w:lvl w:ilvl="2" w:tplc="8BC0D9A0">
      <w:numFmt w:val="decimal"/>
      <w:lvlText w:val=""/>
      <w:lvlJc w:val="left"/>
    </w:lvl>
    <w:lvl w:ilvl="3" w:tplc="7D3A9276">
      <w:numFmt w:val="decimal"/>
      <w:lvlText w:val=""/>
      <w:lvlJc w:val="left"/>
    </w:lvl>
    <w:lvl w:ilvl="4" w:tplc="5EE8489E">
      <w:numFmt w:val="decimal"/>
      <w:lvlText w:val=""/>
      <w:lvlJc w:val="left"/>
    </w:lvl>
    <w:lvl w:ilvl="5" w:tplc="46B61C76">
      <w:numFmt w:val="decimal"/>
      <w:lvlText w:val=""/>
      <w:lvlJc w:val="left"/>
    </w:lvl>
    <w:lvl w:ilvl="6" w:tplc="60AE71B6">
      <w:numFmt w:val="decimal"/>
      <w:lvlText w:val=""/>
      <w:lvlJc w:val="left"/>
    </w:lvl>
    <w:lvl w:ilvl="7" w:tplc="EB5493BC">
      <w:numFmt w:val="decimal"/>
      <w:lvlText w:val=""/>
      <w:lvlJc w:val="left"/>
    </w:lvl>
    <w:lvl w:ilvl="8" w:tplc="F72628BA">
      <w:numFmt w:val="decimal"/>
      <w:lvlText w:val=""/>
      <w:lvlJc w:val="left"/>
    </w:lvl>
  </w:abstractNum>
  <w:abstractNum w:abstractNumId="3" w15:restartNumberingAfterBreak="0">
    <w:nsid w:val="6A6D1671"/>
    <w:multiLevelType w:val="hybridMultilevel"/>
    <w:tmpl w:val="6A54B19A"/>
    <w:lvl w:ilvl="0" w:tplc="DE529132">
      <w:start w:val="1"/>
      <w:numFmt w:val="bullet"/>
      <w:lvlText w:val="☐"/>
      <w:lvlJc w:val="left"/>
      <w:pPr>
        <w:ind w:left="520" w:hanging="300"/>
      </w:pPr>
    </w:lvl>
    <w:lvl w:ilvl="1" w:tplc="C66CB670">
      <w:numFmt w:val="decimal"/>
      <w:lvlText w:val=""/>
      <w:lvlJc w:val="left"/>
    </w:lvl>
    <w:lvl w:ilvl="2" w:tplc="788C0FC6">
      <w:numFmt w:val="decimal"/>
      <w:lvlText w:val=""/>
      <w:lvlJc w:val="left"/>
    </w:lvl>
    <w:lvl w:ilvl="3" w:tplc="9E48ACB6">
      <w:numFmt w:val="decimal"/>
      <w:lvlText w:val=""/>
      <w:lvlJc w:val="left"/>
    </w:lvl>
    <w:lvl w:ilvl="4" w:tplc="72A47D2E">
      <w:numFmt w:val="decimal"/>
      <w:lvlText w:val=""/>
      <w:lvlJc w:val="left"/>
    </w:lvl>
    <w:lvl w:ilvl="5" w:tplc="C6006428">
      <w:numFmt w:val="decimal"/>
      <w:lvlText w:val=""/>
      <w:lvlJc w:val="left"/>
    </w:lvl>
    <w:lvl w:ilvl="6" w:tplc="B206091C">
      <w:numFmt w:val="decimal"/>
      <w:lvlText w:val=""/>
      <w:lvlJc w:val="left"/>
    </w:lvl>
    <w:lvl w:ilvl="7" w:tplc="D66A1B88">
      <w:numFmt w:val="decimal"/>
      <w:lvlText w:val=""/>
      <w:lvlJc w:val="left"/>
    </w:lvl>
    <w:lvl w:ilvl="8" w:tplc="8AA44758">
      <w:numFmt w:val="decimal"/>
      <w:lvlText w:val=""/>
      <w:lvlJc w:val="left"/>
    </w:lvl>
  </w:abstractNum>
  <w:num w:numId="1" w16cid:durableId="1653949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C787ED"/>
    <w:rsid w:val="000E43A0"/>
    <w:rsid w:val="00326748"/>
    <w:rsid w:val="00333FEC"/>
    <w:rsid w:val="004756A1"/>
    <w:rsid w:val="004806B3"/>
    <w:rsid w:val="005C152F"/>
    <w:rsid w:val="00707A91"/>
    <w:rsid w:val="007721C4"/>
    <w:rsid w:val="007B6C94"/>
    <w:rsid w:val="007C3DC9"/>
    <w:rsid w:val="00875E87"/>
    <w:rsid w:val="008B13E0"/>
    <w:rsid w:val="008E2E6D"/>
    <w:rsid w:val="00BB5EEB"/>
    <w:rsid w:val="00C62D0C"/>
    <w:rsid w:val="56C787ED"/>
    <w:rsid w:val="76F1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BA4A6"/>
  <w15:docId w15:val="{F93A4B87-3BD0-48D5-BF2F-6D415107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0E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3A0"/>
  </w:style>
  <w:style w:type="paragraph" w:styleId="Footer">
    <w:name w:val="footer"/>
    <w:basedOn w:val="Normal"/>
    <w:link w:val="FooterChar"/>
    <w:uiPriority w:val="99"/>
    <w:unhideWhenUsed/>
    <w:rsid w:val="000E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CDB1A-F936-450C-BDD1-04044DCA0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032B3-CA07-4F67-A7F7-BF17FD03EE75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5DE619B7-F567-49DA-BC2A-6A98E9D85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1771</Characters>
  <Application>Microsoft Office Word</Application>
  <DocSecurity>0</DocSecurity>
  <Lines>47</Lines>
  <Paragraphs>33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10</cp:revision>
  <dcterms:created xsi:type="dcterms:W3CDTF">2026-07-03T05:22:00Z</dcterms:created>
  <dcterms:modified xsi:type="dcterms:W3CDTF">2026-07-10T06:09:00Z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