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24FC" w14:textId="77777777" w:rsidR="00000000" w:rsidRDefault="00000000">
      <w:pPr>
        <w:spacing w:after="200"/>
      </w:pPr>
      <w:r w:rsidRPr="00AA2A2D">
        <w:rPr>
          <w:b/>
          <w:color w:val="007260"/>
          <w:sz w:val="18"/>
          <w:szCs w:val="18"/>
        </w:rPr>
        <w:t>EFWA EXCELLENCE HUB</w:t>
      </w:r>
      <w:r w:rsidRPr="01D3250B">
        <w:rPr>
          <w:b/>
          <w:bCs/>
          <w:color w:val="F57F17"/>
          <w:sz w:val="18"/>
          <w:szCs w:val="18"/>
        </w:rPr>
        <w:t xml:space="preserve">     </w:t>
      </w:r>
      <w:r w:rsidRPr="006E219E">
        <w:rPr>
          <w:b/>
          <w:bCs/>
          <w:color w:val="595959" w:themeColor="text1" w:themeTint="A6"/>
          <w:sz w:val="18"/>
          <w:szCs w:val="18"/>
        </w:rPr>
        <w:t>Level 3 · Leadership</w:t>
      </w:r>
    </w:p>
    <w:p w14:paraId="566DB1AA" w14:textId="77777777" w:rsidR="00000000" w:rsidRDefault="00000000">
      <w:pPr>
        <w:pStyle w:val="Title0"/>
        <w:rPr>
          <w:color w:val="007260"/>
        </w:rPr>
      </w:pPr>
      <w:r w:rsidRPr="00BA0880">
        <w:rPr>
          <w:color w:val="007260"/>
        </w:rPr>
        <w:t>Continuous Improvement Playbook</w:t>
      </w:r>
    </w:p>
    <w:p w14:paraId="2D9F0F22" w14:textId="77777777" w:rsidR="00890AED" w:rsidRDefault="00000000">
      <w:pPr>
        <w:spacing w:after="60"/>
      </w:pPr>
      <w:r>
        <w:rPr>
          <w:color w:val="555555"/>
          <w:sz w:val="22"/>
          <w:szCs w:val="22"/>
        </w:rPr>
        <w:t>Run a disciplined pipeline of waste-reduction projects using PDCA</w:t>
      </w:r>
    </w:p>
    <w:p w14:paraId="0E8E1435" w14:textId="77777777" w:rsidR="00AA2A2D" w:rsidRDefault="00AA2A2D">
      <w:pPr>
        <w:pBdr>
          <w:bottom w:val="single" w:sz="12" w:space="0" w:color="007260"/>
        </w:pBdr>
        <w:spacing w:after="140"/>
        <w:rPr>
          <w:kern w:val="2"/>
          <w14:ligatures w14:val="standardContextual"/>
        </w:rPr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2A2D" w14:paraId="7F7B726D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346E84" w14:textId="77777777" w:rsidR="00AA2A2D" w:rsidRDefault="00AA2A2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538063A4" w14:textId="6FA6421B" w:rsidR="00AA2A2D" w:rsidRDefault="00AA2A2D">
            <w:pPr>
              <w:spacing w:after="0"/>
            </w:pPr>
            <w:r>
              <w:rPr>
                <w:color w:val="000000"/>
                <w:lang w:val="en-US"/>
              </w:rPr>
              <w:t xml:space="preserve">Continuous improvement means making many small, sustained gains rather than one big fix. The </w:t>
            </w:r>
            <w:r w:rsidR="00A72A12">
              <w:rPr>
                <w:color w:val="000000"/>
                <w:lang w:val="en-US"/>
              </w:rPr>
              <w:t>method</w:t>
            </w:r>
            <w:r>
              <w:rPr>
                <w:color w:val="000000"/>
                <w:lang w:val="en-US"/>
              </w:rPr>
              <w:t xml:space="preserve"> is PDCA </w:t>
            </w:r>
            <w:r w:rsidR="00A72A12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 xml:space="preserve">Plan, Do, Check, Act </w:t>
            </w:r>
            <w:r w:rsidR="00A72A12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a simple four-step cycle for testing and locking in improvements. This playbook shows you how to keep a backlog of ideas and run each through PDCA.</w:t>
            </w:r>
          </w:p>
        </w:tc>
      </w:tr>
    </w:tbl>
    <w:p w14:paraId="0A37501D" w14:textId="77777777" w:rsidR="00890AED" w:rsidRDefault="00890AED">
      <w:pPr>
        <w:spacing w:after="30"/>
      </w:pPr>
    </w:p>
    <w:p w14:paraId="577B8576" w14:textId="77777777" w:rsidR="00000000" w:rsidRDefault="00000000">
      <w:pPr>
        <w:pStyle w:val="heading10"/>
        <w:rPr>
          <w:color w:val="007260"/>
        </w:rPr>
      </w:pPr>
      <w:r w:rsidRPr="0042455C">
        <w:rPr>
          <w:color w:val="007260"/>
        </w:rPr>
        <w:t>What PDCA means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7880"/>
      </w:tblGrid>
      <w:tr w:rsidR="00AA2A2D" w14:paraId="1053411F" w14:textId="77777777">
        <w:tc>
          <w:tcPr>
            <w:tcW w:w="22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C8DAFB" w14:textId="77777777" w:rsidR="00AA2A2D" w:rsidRDefault="00AA2A2D">
            <w:pPr>
              <w:spacing w:after="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Step</w:t>
            </w:r>
          </w:p>
        </w:tc>
        <w:tc>
          <w:tcPr>
            <w:tcW w:w="78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685A68D" w14:textId="77777777" w:rsidR="00AA2A2D" w:rsidRDefault="00AA2A2D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What you do</w:t>
            </w:r>
          </w:p>
        </w:tc>
      </w:tr>
      <w:tr w:rsidR="00AA2A2D" w14:paraId="5378F36B" w14:textId="77777777"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4F60A31" w14:textId="77777777" w:rsidR="00AA2A2D" w:rsidRDefault="00AA2A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Plan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F1E207" w14:textId="77777777" w:rsidR="00AA2A2D" w:rsidRDefault="00AA2A2D">
            <w:pPr>
              <w:spacing w:after="0"/>
            </w:pPr>
            <w:r>
              <w:rPr>
                <w:sz w:val="19"/>
                <w:szCs w:val="19"/>
                <w:lang w:val="en-US"/>
              </w:rPr>
              <w:t>Define the problem, root cause, target and owner.</w:t>
            </w:r>
          </w:p>
        </w:tc>
      </w:tr>
      <w:tr w:rsidR="00AA2A2D" w14:paraId="2E0A9A70" w14:textId="77777777"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21F37A5" w14:textId="77777777" w:rsidR="00AA2A2D" w:rsidRDefault="00AA2A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Do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2A6A4BC" w14:textId="77777777" w:rsidR="00AA2A2D" w:rsidRDefault="00AA2A2D">
            <w:pPr>
              <w:spacing w:after="0"/>
            </w:pPr>
            <w:r>
              <w:rPr>
                <w:color w:val="000000"/>
                <w:sz w:val="19"/>
                <w:szCs w:val="19"/>
              </w:rPr>
              <w:t>Trial the change on a small scale.</w:t>
            </w:r>
          </w:p>
        </w:tc>
      </w:tr>
      <w:tr w:rsidR="00AA2A2D" w14:paraId="40D7D718" w14:textId="77777777"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7D381DE" w14:textId="77777777" w:rsidR="00AA2A2D" w:rsidRDefault="00AA2A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Check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2A10EB" w14:textId="77777777" w:rsidR="00AA2A2D" w:rsidRDefault="00AA2A2D">
            <w:pPr>
              <w:spacing w:after="0"/>
            </w:pPr>
            <w:r>
              <w:rPr>
                <w:sz w:val="19"/>
                <w:szCs w:val="19"/>
              </w:rPr>
              <w:t>Measure the result against the target.</w:t>
            </w:r>
          </w:p>
        </w:tc>
      </w:tr>
      <w:tr w:rsidR="00AA2A2D" w14:paraId="2C9A8648" w14:textId="77777777">
        <w:tc>
          <w:tcPr>
            <w:tcW w:w="2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36397C0" w14:textId="77777777" w:rsidR="00AA2A2D" w:rsidRDefault="00AA2A2D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Act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EC16709" w14:textId="77777777" w:rsidR="00AA2A2D" w:rsidRDefault="00AA2A2D">
            <w:pPr>
              <w:spacing w:after="0"/>
            </w:pPr>
            <w:r>
              <w:rPr>
                <w:color w:val="000000"/>
                <w:sz w:val="19"/>
                <w:szCs w:val="19"/>
                <w:lang w:val="en-US"/>
              </w:rPr>
              <w:t xml:space="preserve">If it worked,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standardise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it. If not, adjust and re-run.</w:t>
            </w:r>
          </w:p>
        </w:tc>
      </w:tr>
    </w:tbl>
    <w:p w14:paraId="5DAB6C7B" w14:textId="77777777" w:rsidR="00890AED" w:rsidRDefault="00890AED">
      <w:pPr>
        <w:spacing w:after="30"/>
      </w:pPr>
    </w:p>
    <w:p w14:paraId="4FA6BBC9" w14:textId="77777777" w:rsidR="00000000" w:rsidRDefault="00000000">
      <w:pPr>
        <w:pStyle w:val="heading10"/>
        <w:rPr>
          <w:color w:val="007260"/>
        </w:rPr>
      </w:pPr>
      <w:r w:rsidRPr="00924EA9">
        <w:rPr>
          <w:color w:val="007260"/>
        </w:rPr>
        <w:t>1. Keep a backlog of ideas</w:t>
      </w:r>
    </w:p>
    <w:p w14:paraId="774A8A39" w14:textId="77777777" w:rsidR="00890AED" w:rsidRDefault="01D3250B">
      <w:r w:rsidRPr="01D3250B">
        <w:rPr>
          <w:lang w:val="en-US"/>
        </w:rPr>
        <w:t xml:space="preserve">Capture every waste-reduction idea in one list. </w:t>
      </w:r>
      <w:proofErr w:type="spellStart"/>
      <w:r w:rsidRPr="01D3250B">
        <w:rPr>
          <w:lang w:val="en-US"/>
        </w:rPr>
        <w:t>Prioritise</w:t>
      </w:r>
      <w:proofErr w:type="spellEnd"/>
      <w:r w:rsidRPr="01D3250B">
        <w:rPr>
          <w:lang w:val="en-US"/>
        </w:rPr>
        <w:t xml:space="preserve"> high value + low effort first.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1800"/>
        <w:gridCol w:w="1600"/>
        <w:gridCol w:w="2080"/>
      </w:tblGrid>
      <w:tr w:rsidR="00AA2A2D" w14:paraId="39F2E445" w14:textId="77777777">
        <w:tc>
          <w:tcPr>
            <w:tcW w:w="4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11A046A" w14:textId="77777777" w:rsidR="00AA2A2D" w:rsidRDefault="00AA2A2D">
            <w:pPr>
              <w:spacing w:after="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Improvement idea</w:t>
            </w:r>
          </w:p>
        </w:tc>
        <w:tc>
          <w:tcPr>
            <w:tcW w:w="18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281E37" w14:textId="77777777" w:rsidR="00AA2A2D" w:rsidRDefault="00AA2A2D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Est. value</w:t>
            </w:r>
          </w:p>
        </w:tc>
        <w:tc>
          <w:tcPr>
            <w:tcW w:w="16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41BF74E" w14:textId="77777777" w:rsidR="00AA2A2D" w:rsidRDefault="00AA2A2D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Effort</w:t>
            </w:r>
          </w:p>
        </w:tc>
        <w:tc>
          <w:tcPr>
            <w:tcW w:w="20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FEB1E36" w14:textId="77777777" w:rsidR="00AA2A2D" w:rsidRDefault="00AA2A2D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Priority</w:t>
            </w:r>
          </w:p>
        </w:tc>
      </w:tr>
      <w:tr w:rsidR="00AA2A2D" w14:paraId="5C3C0979" w14:textId="77777777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BFF10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4D40A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76B8E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62451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A2A2D" w14:paraId="7452C9B0" w14:textId="77777777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43CD4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E4AA4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21CD8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944D8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A2A2D" w14:paraId="77CFFF5D" w14:textId="77777777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0601F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506A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DD376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657B8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A2A2D" w14:paraId="5736AFD1" w14:textId="77777777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4849B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FDE7D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73362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B10F7" w14:textId="77777777" w:rsidR="00AA2A2D" w:rsidRDefault="00AA2A2D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A2A2D" w14:paraId="49AF741A" w14:textId="77777777">
        <w:tc>
          <w:tcPr>
            <w:tcW w:w="4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3C7D4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60739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0158A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6FE1D" w14:textId="77777777" w:rsidR="00AA2A2D" w:rsidRDefault="00AA2A2D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2EB378F" w14:textId="77777777" w:rsidR="00890AED" w:rsidRDefault="00890AED">
      <w:pPr>
        <w:spacing w:after="20"/>
      </w:pPr>
    </w:p>
    <w:p w14:paraId="71D94912" w14:textId="77777777" w:rsidR="00000000" w:rsidRDefault="00000000">
      <w:pPr>
        <w:pStyle w:val="heading10"/>
        <w:rPr>
          <w:color w:val="007260"/>
        </w:rPr>
      </w:pPr>
      <w:r w:rsidRPr="0093751B">
        <w:rPr>
          <w:color w:val="007260"/>
        </w:rPr>
        <w:t>2. Run each project through PDCA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2A2D" w14:paraId="4CC70CF7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DE2DD1" w14:textId="77777777" w:rsidR="00AA2A2D" w:rsidRDefault="00AA2A2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Plan</w:t>
            </w:r>
          </w:p>
          <w:p w14:paraId="71906D89" w14:textId="77777777" w:rsidR="00AA2A2D" w:rsidRDefault="00AA2A2D">
            <w:pPr>
              <w:spacing w:after="0"/>
            </w:pP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problem, root cause, target, owner ]</w:t>
            </w:r>
          </w:p>
        </w:tc>
      </w:tr>
    </w:tbl>
    <w:p w14:paraId="6A05A809" w14:textId="77777777" w:rsidR="00890AED" w:rsidRDefault="00890AED">
      <w:pPr>
        <w:spacing w:after="16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2A2D" w14:paraId="41A64990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3B3ED5" w14:textId="77777777" w:rsidR="00AA2A2D" w:rsidRDefault="00AA2A2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Do</w:t>
            </w:r>
          </w:p>
          <w:p w14:paraId="20E66465" w14:textId="77777777" w:rsidR="00AA2A2D" w:rsidRDefault="00AA2A2D">
            <w:pPr>
              <w:spacing w:after="0"/>
            </w:pP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trial the change, small scale ]</w:t>
            </w:r>
          </w:p>
        </w:tc>
      </w:tr>
    </w:tbl>
    <w:p w14:paraId="5A39BBE3" w14:textId="77777777" w:rsidR="00890AED" w:rsidRDefault="00890AED">
      <w:pPr>
        <w:spacing w:after="16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2A2D" w14:paraId="7AA28F19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894F1D" w14:textId="77777777" w:rsidR="00AA2A2D" w:rsidRDefault="00AA2A2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Check</w:t>
            </w:r>
          </w:p>
          <w:p w14:paraId="1AAD04EC" w14:textId="77777777" w:rsidR="00AA2A2D" w:rsidRDefault="00AA2A2D">
            <w:pPr>
              <w:spacing w:after="0"/>
            </w:pP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measure vs target ]</w:t>
            </w:r>
          </w:p>
        </w:tc>
      </w:tr>
    </w:tbl>
    <w:p w14:paraId="41C8F396" w14:textId="77777777" w:rsidR="00890AED" w:rsidRDefault="00890AED">
      <w:pPr>
        <w:spacing w:after="16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2A2D" w14:paraId="637F60B3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55179E" w14:textId="77777777" w:rsidR="00AA2A2D" w:rsidRDefault="00AA2A2D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Act</w:t>
            </w:r>
          </w:p>
          <w:p w14:paraId="1077EB02" w14:textId="77777777" w:rsidR="00AA2A2D" w:rsidRDefault="00AA2A2D">
            <w:pPr>
              <w:spacing w:after="0"/>
            </w:pP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[ </w:t>
            </w:r>
            <w:proofErr w:type="spellStart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standardise</w:t>
            </w:r>
            <w:proofErr w:type="spellEnd"/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 xml:space="preserve"> the gain, or adjust and repeat ]</w:t>
            </w:r>
          </w:p>
        </w:tc>
      </w:tr>
    </w:tbl>
    <w:p w14:paraId="72A3D3EC" w14:textId="77777777" w:rsidR="00890AED" w:rsidRDefault="00890AED">
      <w:pPr>
        <w:spacing w:after="20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D06FB8" w14:paraId="7E9F7FD8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8971C7" w14:textId="77777777" w:rsidR="00D06FB8" w:rsidRDefault="00D06FB8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Worked example — one PDCA cycle</w:t>
            </w:r>
          </w:p>
          <w:p w14:paraId="3FDEDF59" w14:textId="73AD1224" w:rsidR="00D06FB8" w:rsidRDefault="00D06FB8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>Plan</w:t>
            </w:r>
            <w:r w:rsidR="00045970">
              <w:rPr>
                <w:b/>
                <w:bCs/>
                <w:color w:val="000000"/>
                <w:lang w:val="en-US"/>
              </w:rPr>
              <w:t xml:space="preserve">: </w:t>
            </w:r>
            <w:r>
              <w:rPr>
                <w:color w:val="000000"/>
                <w:lang w:val="en-US"/>
              </w:rPr>
              <w:t>prep trim waste high; root cause = inconsistent method; target −20%; owner = shift lead.</w:t>
            </w:r>
          </w:p>
          <w:p w14:paraId="642B1D24" w14:textId="519DE444" w:rsidR="00D06FB8" w:rsidRDefault="00D06FB8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Do: </w:t>
            </w:r>
            <w:r>
              <w:rPr>
                <w:color w:val="000000"/>
                <w:lang w:val="en-US"/>
              </w:rPr>
              <w:t>trial a photo standard on one line for two weeks.</w:t>
            </w:r>
          </w:p>
          <w:p w14:paraId="6509D6AD" w14:textId="7A278F92" w:rsidR="00D06FB8" w:rsidRDefault="00D06FB8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Check: </w:t>
            </w:r>
            <w:r>
              <w:rPr>
                <w:color w:val="000000"/>
                <w:lang w:val="en-US"/>
              </w:rPr>
              <w:t xml:space="preserve">trim waste down 28% </w:t>
            </w:r>
            <w:r w:rsidR="00045970"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beat the target.</w:t>
            </w:r>
          </w:p>
          <w:p w14:paraId="457D9A91" w14:textId="20C6C67B" w:rsidR="00D06FB8" w:rsidRDefault="00D06FB8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Act: </w:t>
            </w:r>
            <w:r>
              <w:rPr>
                <w:color w:val="000000"/>
                <w:lang w:val="en-US"/>
              </w:rPr>
              <w:t>roll the standard to all lines; add to induction training so it sticks.</w:t>
            </w:r>
          </w:p>
        </w:tc>
      </w:tr>
    </w:tbl>
    <w:p w14:paraId="0D0B940D" w14:textId="77777777" w:rsidR="00890AED" w:rsidRDefault="00890AED">
      <w:pPr>
        <w:spacing w:after="30"/>
      </w:pPr>
    </w:p>
    <w:p w14:paraId="5B25A5C6" w14:textId="77777777" w:rsidR="00000000" w:rsidRDefault="00000000">
      <w:pPr>
        <w:pStyle w:val="heading10"/>
        <w:rPr>
          <w:color w:val="007260"/>
        </w:rPr>
      </w:pPr>
      <w:r w:rsidRPr="005C5BEA">
        <w:rPr>
          <w:color w:val="007260"/>
        </w:rPr>
        <w:t>3. Hold the gain</w:t>
      </w:r>
    </w:p>
    <w:p w14:paraId="0276F9BF" w14:textId="77777777" w:rsidR="00890AED" w:rsidRDefault="00000000">
      <w:pPr>
        <w:pStyle w:val="ListParagraph"/>
        <w:numPr>
          <w:ilvl w:val="0"/>
          <w:numId w:val="2"/>
        </w:numPr>
        <w:spacing w:after="60"/>
      </w:pPr>
      <w:r>
        <w:t>Write every successful improvement into standard work.</w:t>
      </w:r>
    </w:p>
    <w:p w14:paraId="131B02E3" w14:textId="77777777" w:rsidR="00890AED" w:rsidRDefault="01D3250B">
      <w:pPr>
        <w:pStyle w:val="ListParagraph"/>
        <w:numPr>
          <w:ilvl w:val="0"/>
          <w:numId w:val="2"/>
        </w:numPr>
        <w:spacing w:after="60"/>
      </w:pPr>
      <w:r w:rsidRPr="01D3250B">
        <w:rPr>
          <w:lang w:val="en-US"/>
        </w:rPr>
        <w:t>Add a monthly control check so it doesn’t slip back.</w:t>
      </w:r>
    </w:p>
    <w:p w14:paraId="67622680" w14:textId="77777777" w:rsidR="00890AED" w:rsidRDefault="00000000">
      <w:pPr>
        <w:pStyle w:val="ListParagraph"/>
        <w:numPr>
          <w:ilvl w:val="0"/>
          <w:numId w:val="2"/>
        </w:numPr>
        <w:spacing w:after="60"/>
      </w:pPr>
      <w:r>
        <w:t>Feed the biggest remaining losses (from the Loss Map, L3.05) back into the backlog.</w:t>
      </w:r>
    </w:p>
    <w:p w14:paraId="0E27B00A" w14:textId="77777777" w:rsidR="00890AED" w:rsidRDefault="00890AED">
      <w:pPr>
        <w:spacing w:after="20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E61F91" w14:paraId="17A555A4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F39F15" w14:textId="77777777" w:rsidR="00E61F91" w:rsidRDefault="00E61F91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The discipline that matters most</w:t>
            </w:r>
          </w:p>
          <w:p w14:paraId="572A950F" w14:textId="77777777" w:rsidR="00E61F91" w:rsidRDefault="00E61F91">
            <w:pPr>
              <w:spacing w:after="0"/>
            </w:pPr>
            <w:r>
              <w:rPr>
                <w:color w:val="000000"/>
                <w:lang w:val="en-US"/>
              </w:rPr>
              <w:t xml:space="preserve">Finish projects before starting new ones. A pipeline of ten half-done ideas saves nothing; three completed and </w:t>
            </w:r>
            <w:proofErr w:type="spellStart"/>
            <w:r>
              <w:rPr>
                <w:color w:val="000000"/>
                <w:lang w:val="en-US"/>
              </w:rPr>
              <w:t>standardised</w:t>
            </w:r>
            <w:proofErr w:type="spellEnd"/>
            <w:r>
              <w:rPr>
                <w:color w:val="000000"/>
                <w:lang w:val="en-US"/>
              </w:rPr>
              <w:t xml:space="preserve"> saves real money.</w:t>
            </w:r>
          </w:p>
        </w:tc>
      </w:tr>
    </w:tbl>
    <w:p w14:paraId="60061E4C" w14:textId="77777777" w:rsidR="00890AED" w:rsidRDefault="00890AED">
      <w:pPr>
        <w:spacing w:after="40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E61F91" w14:paraId="620A104F" w14:textId="77777777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8F5E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E48EF1" w14:textId="77777777" w:rsidR="00E61F91" w:rsidRDefault="00E61F91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B4C87FF" w14:textId="77777777" w:rsidR="00E61F91" w:rsidRDefault="00E61F91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 TO COMPLETE ]</w:t>
            </w:r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6539D6D4" w14:textId="77777777" w:rsidR="008D37C1" w:rsidRDefault="008D37C1"/>
    <w:sectPr w:rsidR="008D37C1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C3C9" w14:textId="77777777" w:rsidR="008D37C1" w:rsidRDefault="008D37C1">
      <w:pPr>
        <w:spacing w:after="0" w:line="240" w:lineRule="auto"/>
      </w:pPr>
      <w:r>
        <w:separator/>
      </w:r>
    </w:p>
  </w:endnote>
  <w:endnote w:type="continuationSeparator" w:id="0">
    <w:p w14:paraId="0D74AAC2" w14:textId="77777777" w:rsidR="008D37C1" w:rsidRDefault="008D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6AC8E37F" w:rsidR="00890AED" w:rsidRDefault="01D3250B" w:rsidP="01D3250B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01D3250B">
      <w:rPr>
        <w:color w:val="555555"/>
        <w:sz w:val="15"/>
        <w:szCs w:val="15"/>
        <w:lang w:val="en-US"/>
      </w:rPr>
      <w:t>End Food Waste Australia</w:t>
    </w:r>
    <w:r w:rsidR="00E61F91">
      <w:rPr>
        <w:color w:val="555555"/>
        <w:sz w:val="15"/>
        <w:szCs w:val="15"/>
        <w:lang w:val="en-US"/>
      </w:rPr>
      <w:t>:</w:t>
    </w:r>
    <w:r w:rsidRPr="01D3250B">
      <w:rPr>
        <w:color w:val="555555"/>
        <w:sz w:val="15"/>
        <w:szCs w:val="15"/>
        <w:lang w:val="en-US"/>
      </w:rPr>
      <w:t xml:space="preserve">  Commercial-in-confidence</w:t>
    </w:r>
    <w:r w:rsidR="006E219E">
      <w:rPr>
        <w:color w:val="555555"/>
        <w:sz w:val="15"/>
        <w:szCs w:val="15"/>
        <w:lang w:val="en-US"/>
      </w:rPr>
      <w:t xml:space="preserve"> </w:t>
    </w:r>
    <w:r w:rsidRPr="01D3250B">
      <w:rPr>
        <w:color w:val="555555"/>
        <w:sz w:val="15"/>
        <w:szCs w:val="15"/>
        <w:lang w:val="en-US"/>
      </w:rPr>
      <w:t xml:space="preserve">Page </w:t>
    </w:r>
    <w:r w:rsidR="00000000" w:rsidRPr="01D3250B">
      <w:rPr>
        <w:color w:val="555555"/>
        <w:sz w:val="15"/>
        <w:szCs w:val="15"/>
        <w:lang w:val="en-US"/>
      </w:rPr>
      <w:fldChar w:fldCharType="begin"/>
    </w:r>
    <w:r w:rsidR="00000000" w:rsidRPr="01D3250B">
      <w:rPr>
        <w:color w:val="555555"/>
        <w:sz w:val="15"/>
        <w:szCs w:val="15"/>
      </w:rPr>
      <w:instrText>PAGE</w:instrText>
    </w:r>
    <w:r w:rsidR="00000000" w:rsidRPr="01D3250B">
      <w:rPr>
        <w:color w:val="555555"/>
        <w:sz w:val="15"/>
        <w:szCs w:val="15"/>
      </w:rPr>
      <w:fldChar w:fldCharType="separate"/>
    </w:r>
    <w:r w:rsidR="00441697">
      <w:rPr>
        <w:noProof/>
        <w:color w:val="555555"/>
        <w:sz w:val="15"/>
        <w:szCs w:val="15"/>
      </w:rPr>
      <w:t>1</w:t>
    </w:r>
    <w:r w:rsidR="00000000" w:rsidRPr="01D3250B">
      <w:rPr>
        <w:color w:val="555555"/>
        <w:sz w:val="15"/>
        <w:szCs w:val="15"/>
        <w:lang w:val="en-US"/>
      </w:rPr>
      <w:fldChar w:fldCharType="end"/>
    </w:r>
    <w:r w:rsidRPr="01D3250B">
      <w:rPr>
        <w:color w:val="555555"/>
        <w:sz w:val="15"/>
        <w:szCs w:val="15"/>
        <w:lang w:val="en-US"/>
      </w:rPr>
      <w:t xml:space="preserve"> of </w:t>
    </w:r>
    <w:r w:rsidR="00000000" w:rsidRPr="01D3250B">
      <w:rPr>
        <w:color w:val="555555"/>
        <w:sz w:val="15"/>
        <w:szCs w:val="15"/>
        <w:lang w:val="en-US"/>
      </w:rPr>
      <w:fldChar w:fldCharType="begin"/>
    </w:r>
    <w:r w:rsidR="00000000" w:rsidRPr="01D3250B">
      <w:rPr>
        <w:color w:val="555555"/>
        <w:sz w:val="15"/>
        <w:szCs w:val="15"/>
      </w:rPr>
      <w:instrText>NUMPAGES</w:instrText>
    </w:r>
    <w:r w:rsidR="00000000" w:rsidRPr="01D3250B">
      <w:rPr>
        <w:color w:val="555555"/>
        <w:sz w:val="15"/>
        <w:szCs w:val="15"/>
      </w:rPr>
      <w:fldChar w:fldCharType="separate"/>
    </w:r>
    <w:r w:rsidR="00441697">
      <w:rPr>
        <w:noProof/>
        <w:color w:val="555555"/>
        <w:sz w:val="15"/>
        <w:szCs w:val="15"/>
      </w:rPr>
      <w:t>2</w:t>
    </w:r>
    <w:r w:rsidR="00000000" w:rsidRPr="01D3250B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B42B" w14:textId="77777777" w:rsidR="008D37C1" w:rsidRDefault="008D37C1">
      <w:pPr>
        <w:spacing w:after="0" w:line="240" w:lineRule="auto"/>
      </w:pPr>
      <w:r>
        <w:separator/>
      </w:r>
    </w:p>
  </w:footnote>
  <w:footnote w:type="continuationSeparator" w:id="0">
    <w:p w14:paraId="2476F56D" w14:textId="77777777" w:rsidR="008D37C1" w:rsidRDefault="008D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1FE8" w14:textId="263232FB" w:rsidR="00890AED" w:rsidRDefault="006E219E" w:rsidP="01D3250B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7C399DAC" wp14:editId="68191B1E">
          <wp:extent cx="2158355" cy="590550"/>
          <wp:effectExtent l="0" t="0" r="0" b="0"/>
          <wp:docPr id="1724013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013595" name="Picture 1724013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750" cy="59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7260"/>
        <w:sz w:val="16"/>
        <w:szCs w:val="16"/>
      </w:rPr>
      <w:br/>
    </w:r>
    <w:r w:rsidR="01D3250B" w:rsidRPr="006E219E">
      <w:rPr>
        <w:b/>
        <w:bCs/>
        <w:color w:val="007260"/>
        <w:sz w:val="16"/>
        <w:szCs w:val="16"/>
      </w:rPr>
      <w:t>EFWA Excellence Hub</w:t>
    </w:r>
    <w:r>
      <w:rPr>
        <w:b/>
        <w:bCs/>
        <w:color w:val="2E7D32"/>
        <w:sz w:val="16"/>
        <w:szCs w:val="16"/>
      </w:rPr>
      <w:t xml:space="preserve"> </w:t>
    </w:r>
    <w:r w:rsidR="01D3250B" w:rsidRPr="01D3250B">
      <w:rPr>
        <w:color w:val="555555"/>
        <w:sz w:val="16"/>
        <w:szCs w:val="16"/>
      </w:rPr>
      <w:t>L3 · CI Playbook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wxxtk1Oaaejcq" int2:id="PImwuH2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F2B"/>
    <w:multiLevelType w:val="hybridMultilevel"/>
    <w:tmpl w:val="B782A5F0"/>
    <w:lvl w:ilvl="0" w:tplc="9AD8C738">
      <w:start w:val="1"/>
      <w:numFmt w:val="decimal"/>
      <w:lvlText w:val="%1."/>
      <w:lvlJc w:val="left"/>
      <w:pPr>
        <w:ind w:left="520" w:hanging="300"/>
      </w:pPr>
    </w:lvl>
    <w:lvl w:ilvl="1" w:tplc="615A302E">
      <w:numFmt w:val="decimal"/>
      <w:lvlText w:val=""/>
      <w:lvlJc w:val="left"/>
    </w:lvl>
    <w:lvl w:ilvl="2" w:tplc="BB0C3C48">
      <w:numFmt w:val="decimal"/>
      <w:lvlText w:val=""/>
      <w:lvlJc w:val="left"/>
    </w:lvl>
    <w:lvl w:ilvl="3" w:tplc="234C977E">
      <w:numFmt w:val="decimal"/>
      <w:lvlText w:val=""/>
      <w:lvlJc w:val="left"/>
    </w:lvl>
    <w:lvl w:ilvl="4" w:tplc="3C469802">
      <w:numFmt w:val="decimal"/>
      <w:lvlText w:val=""/>
      <w:lvlJc w:val="left"/>
    </w:lvl>
    <w:lvl w:ilvl="5" w:tplc="21563426">
      <w:numFmt w:val="decimal"/>
      <w:lvlText w:val=""/>
      <w:lvlJc w:val="left"/>
    </w:lvl>
    <w:lvl w:ilvl="6" w:tplc="118C976C">
      <w:numFmt w:val="decimal"/>
      <w:lvlText w:val=""/>
      <w:lvlJc w:val="left"/>
    </w:lvl>
    <w:lvl w:ilvl="7" w:tplc="A3E86EF0">
      <w:numFmt w:val="decimal"/>
      <w:lvlText w:val=""/>
      <w:lvlJc w:val="left"/>
    </w:lvl>
    <w:lvl w:ilvl="8" w:tplc="56849984">
      <w:numFmt w:val="decimal"/>
      <w:lvlText w:val=""/>
      <w:lvlJc w:val="left"/>
    </w:lvl>
  </w:abstractNum>
  <w:abstractNum w:abstractNumId="1" w15:restartNumberingAfterBreak="0">
    <w:nsid w:val="1B58BE12"/>
    <w:multiLevelType w:val="hybridMultilevel"/>
    <w:tmpl w:val="1F60EB5A"/>
    <w:lvl w:ilvl="0" w:tplc="69787D92">
      <w:start w:val="1"/>
      <w:numFmt w:val="bullet"/>
      <w:lvlText w:val="●"/>
      <w:lvlJc w:val="left"/>
      <w:pPr>
        <w:ind w:left="720" w:hanging="360"/>
      </w:pPr>
    </w:lvl>
    <w:lvl w:ilvl="1" w:tplc="E92CBBC2">
      <w:start w:val="1"/>
      <w:numFmt w:val="bullet"/>
      <w:lvlText w:val="○"/>
      <w:lvlJc w:val="left"/>
      <w:pPr>
        <w:ind w:left="1440" w:hanging="360"/>
      </w:pPr>
    </w:lvl>
    <w:lvl w:ilvl="2" w:tplc="B02CF328">
      <w:start w:val="1"/>
      <w:numFmt w:val="bullet"/>
      <w:lvlText w:val="■"/>
      <w:lvlJc w:val="left"/>
      <w:pPr>
        <w:ind w:left="2160" w:hanging="360"/>
      </w:pPr>
    </w:lvl>
    <w:lvl w:ilvl="3" w:tplc="EB443BFA">
      <w:start w:val="1"/>
      <w:numFmt w:val="bullet"/>
      <w:lvlText w:val="●"/>
      <w:lvlJc w:val="left"/>
      <w:pPr>
        <w:ind w:left="2880" w:hanging="360"/>
      </w:pPr>
    </w:lvl>
    <w:lvl w:ilvl="4" w:tplc="3F08A59E">
      <w:start w:val="1"/>
      <w:numFmt w:val="bullet"/>
      <w:lvlText w:val="○"/>
      <w:lvlJc w:val="left"/>
      <w:pPr>
        <w:ind w:left="3600" w:hanging="360"/>
      </w:pPr>
    </w:lvl>
    <w:lvl w:ilvl="5" w:tplc="326805EC">
      <w:start w:val="1"/>
      <w:numFmt w:val="bullet"/>
      <w:lvlText w:val="■"/>
      <w:lvlJc w:val="left"/>
      <w:pPr>
        <w:ind w:left="4320" w:hanging="360"/>
      </w:pPr>
    </w:lvl>
    <w:lvl w:ilvl="6" w:tplc="A14ECF88">
      <w:start w:val="1"/>
      <w:numFmt w:val="bullet"/>
      <w:lvlText w:val="●"/>
      <w:lvlJc w:val="left"/>
      <w:pPr>
        <w:ind w:left="5040" w:hanging="360"/>
      </w:pPr>
    </w:lvl>
    <w:lvl w:ilvl="7" w:tplc="4F062D4C">
      <w:start w:val="1"/>
      <w:numFmt w:val="bullet"/>
      <w:lvlText w:val="●"/>
      <w:lvlJc w:val="left"/>
      <w:pPr>
        <w:ind w:left="5760" w:hanging="360"/>
      </w:pPr>
    </w:lvl>
    <w:lvl w:ilvl="8" w:tplc="08FC19F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F90FEB"/>
    <w:multiLevelType w:val="hybridMultilevel"/>
    <w:tmpl w:val="3572B4F0"/>
    <w:lvl w:ilvl="0" w:tplc="F31C2AFA">
      <w:start w:val="1"/>
      <w:numFmt w:val="bullet"/>
      <w:lvlText w:val="•"/>
      <w:lvlJc w:val="left"/>
      <w:pPr>
        <w:ind w:left="520" w:hanging="260"/>
      </w:pPr>
    </w:lvl>
    <w:lvl w:ilvl="1" w:tplc="29D09D3C">
      <w:numFmt w:val="decimal"/>
      <w:lvlText w:val=""/>
      <w:lvlJc w:val="left"/>
    </w:lvl>
    <w:lvl w:ilvl="2" w:tplc="7F149184">
      <w:numFmt w:val="decimal"/>
      <w:lvlText w:val=""/>
      <w:lvlJc w:val="left"/>
    </w:lvl>
    <w:lvl w:ilvl="3" w:tplc="F1B2E24A">
      <w:numFmt w:val="decimal"/>
      <w:lvlText w:val=""/>
      <w:lvlJc w:val="left"/>
    </w:lvl>
    <w:lvl w:ilvl="4" w:tplc="F3E43DBA">
      <w:numFmt w:val="decimal"/>
      <w:lvlText w:val=""/>
      <w:lvlJc w:val="left"/>
    </w:lvl>
    <w:lvl w:ilvl="5" w:tplc="9A1A4C9E">
      <w:numFmt w:val="decimal"/>
      <w:lvlText w:val=""/>
      <w:lvlJc w:val="left"/>
    </w:lvl>
    <w:lvl w:ilvl="6" w:tplc="C24E9BE0">
      <w:numFmt w:val="decimal"/>
      <w:lvlText w:val=""/>
      <w:lvlJc w:val="left"/>
    </w:lvl>
    <w:lvl w:ilvl="7" w:tplc="663ECD9C">
      <w:numFmt w:val="decimal"/>
      <w:lvlText w:val=""/>
      <w:lvlJc w:val="left"/>
    </w:lvl>
    <w:lvl w:ilvl="8" w:tplc="7242AE20">
      <w:numFmt w:val="decimal"/>
      <w:lvlText w:val=""/>
      <w:lvlJc w:val="left"/>
    </w:lvl>
  </w:abstractNum>
  <w:abstractNum w:abstractNumId="3" w15:restartNumberingAfterBreak="0">
    <w:nsid w:val="7FAC4C8B"/>
    <w:multiLevelType w:val="hybridMultilevel"/>
    <w:tmpl w:val="72D25F7C"/>
    <w:lvl w:ilvl="0" w:tplc="7C5EAFC2">
      <w:start w:val="1"/>
      <w:numFmt w:val="bullet"/>
      <w:lvlText w:val="☐"/>
      <w:lvlJc w:val="left"/>
      <w:pPr>
        <w:ind w:left="520" w:hanging="300"/>
      </w:pPr>
    </w:lvl>
    <w:lvl w:ilvl="1" w:tplc="211482FA">
      <w:numFmt w:val="decimal"/>
      <w:lvlText w:val=""/>
      <w:lvlJc w:val="left"/>
    </w:lvl>
    <w:lvl w:ilvl="2" w:tplc="4E1C126C">
      <w:numFmt w:val="decimal"/>
      <w:lvlText w:val=""/>
      <w:lvlJc w:val="left"/>
    </w:lvl>
    <w:lvl w:ilvl="3" w:tplc="178476DA">
      <w:numFmt w:val="decimal"/>
      <w:lvlText w:val=""/>
      <w:lvlJc w:val="left"/>
    </w:lvl>
    <w:lvl w:ilvl="4" w:tplc="F10C0FC4">
      <w:numFmt w:val="decimal"/>
      <w:lvlText w:val=""/>
      <w:lvlJc w:val="left"/>
    </w:lvl>
    <w:lvl w:ilvl="5" w:tplc="489E59C0">
      <w:numFmt w:val="decimal"/>
      <w:lvlText w:val=""/>
      <w:lvlJc w:val="left"/>
    </w:lvl>
    <w:lvl w:ilvl="6" w:tplc="74124FE0">
      <w:numFmt w:val="decimal"/>
      <w:lvlText w:val=""/>
      <w:lvlJc w:val="left"/>
    </w:lvl>
    <w:lvl w:ilvl="7" w:tplc="CC0ECA14">
      <w:numFmt w:val="decimal"/>
      <w:lvlText w:val=""/>
      <w:lvlJc w:val="left"/>
    </w:lvl>
    <w:lvl w:ilvl="8" w:tplc="EE7001F2">
      <w:numFmt w:val="decimal"/>
      <w:lvlText w:val=""/>
      <w:lvlJc w:val="left"/>
    </w:lvl>
  </w:abstractNum>
  <w:num w:numId="1" w16cid:durableId="1030763143">
    <w:abstractNumId w:val="1"/>
    <w:lvlOverride w:ilvl="0">
      <w:startOverride w:val="1"/>
    </w:lvlOverride>
  </w:num>
  <w:num w:numId="2" w16cid:durableId="59953238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3250B"/>
    <w:rsid w:val="00045970"/>
    <w:rsid w:val="00063700"/>
    <w:rsid w:val="0042455C"/>
    <w:rsid w:val="00441697"/>
    <w:rsid w:val="005C5BEA"/>
    <w:rsid w:val="006E219E"/>
    <w:rsid w:val="00890AED"/>
    <w:rsid w:val="008D37C1"/>
    <w:rsid w:val="00924EA9"/>
    <w:rsid w:val="0093751B"/>
    <w:rsid w:val="00A72A12"/>
    <w:rsid w:val="00AA2A2D"/>
    <w:rsid w:val="00BA0880"/>
    <w:rsid w:val="00D06FB8"/>
    <w:rsid w:val="00E61F91"/>
    <w:rsid w:val="01D3250B"/>
    <w:rsid w:val="0CF9DA43"/>
    <w:rsid w:val="4C0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9B9E2"/>
  <w15:docId w15:val="{91C7C3F0-A578-481F-8B44-3CB1784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E6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F91"/>
  </w:style>
  <w:style w:type="paragraph" w:styleId="Footer">
    <w:name w:val="footer"/>
    <w:basedOn w:val="Normal"/>
    <w:link w:val="FooterChar"/>
    <w:uiPriority w:val="99"/>
    <w:unhideWhenUsed/>
    <w:rsid w:val="00E61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D69FC-72A1-483E-8829-1C11D8DF9883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2.xml><?xml version="1.0" encoding="utf-8"?>
<ds:datastoreItem xmlns:ds="http://schemas.openxmlformats.org/officeDocument/2006/customXml" ds:itemID="{E6546163-D6A7-4BFA-BFF7-7AED186CF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8320E-3D26-4120-84CD-10F0FB73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1618</Characters>
  <Application>Microsoft Office Word</Application>
  <DocSecurity>0</DocSecurity>
  <Lines>85</Lines>
  <Paragraphs>54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8</cp:revision>
  <dcterms:created xsi:type="dcterms:W3CDTF">2026-07-03T05:25:00Z</dcterms:created>
  <dcterms:modified xsi:type="dcterms:W3CDTF">2026-07-13T00:32:00Z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